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1A" w:rsidRDefault="00A8311A" w:rsidP="00A8311A">
      <w:pPr>
        <w:jc w:val="center"/>
        <w:rPr>
          <w:b/>
          <w:sz w:val="40"/>
          <w:szCs w:val="40"/>
          <w:u w:val="single"/>
        </w:rPr>
      </w:pPr>
      <w:r w:rsidRPr="00A8311A">
        <w:rPr>
          <w:b/>
          <w:sz w:val="40"/>
          <w:szCs w:val="40"/>
          <w:u w:val="single"/>
        </w:rPr>
        <w:t>ΙΣΟΖΥΓΙΟ ΠΛΗΡΩΜΩΝ</w:t>
      </w:r>
    </w:p>
    <w:p w:rsidR="00A8311A" w:rsidRPr="00A8311A" w:rsidRDefault="00A8311A" w:rsidP="00A8311A">
      <w:pPr>
        <w:jc w:val="center"/>
        <w:rPr>
          <w:b/>
          <w:sz w:val="40"/>
          <w:szCs w:val="40"/>
          <w:u w:val="single"/>
        </w:rPr>
      </w:pPr>
    </w:p>
    <w:p w:rsidR="00A8311A" w:rsidRPr="00A8311A" w:rsidRDefault="00A8311A" w:rsidP="00A8311A">
      <w:pPr>
        <w:shd w:val="clear" w:color="auto" w:fill="F8FCFF"/>
        <w:spacing w:before="100" w:beforeAutospacing="1" w:after="100" w:afterAutospacing="1" w:line="240" w:lineRule="auto"/>
        <w:jc w:val="both"/>
        <w:rPr>
          <w:rFonts w:ascii="Times New Roman" w:eastAsia="Times New Roman" w:hAnsi="Times New Roman" w:cs="Times New Roman"/>
          <w:b/>
          <w:i/>
          <w:sz w:val="24"/>
          <w:szCs w:val="24"/>
          <w:u w:val="single"/>
          <w:lang w:eastAsia="el-GR"/>
        </w:rPr>
      </w:pPr>
      <w:r w:rsidRPr="00A8311A">
        <w:rPr>
          <w:rFonts w:ascii="Times New Roman" w:eastAsia="Times New Roman" w:hAnsi="Times New Roman" w:cs="Times New Roman"/>
          <w:b/>
          <w:i/>
          <w:sz w:val="24"/>
          <w:szCs w:val="24"/>
          <w:u w:val="single"/>
          <w:lang w:eastAsia="el-GR"/>
        </w:rPr>
        <w:t>I. ΙΣΟΖΥΓΙΟ ΤΡΕΧΟΥΣΩΝ ΣΥΝΑΛΛΑΓΩΝ (Ι.Α+Ι.Β+Ι.Γ+Ι.∆)</w:t>
      </w:r>
    </w:p>
    <w:p w:rsidR="00A8311A" w:rsidRPr="00A8311A" w:rsidRDefault="00A8311A" w:rsidP="00A8311A">
      <w:pPr>
        <w:spacing w:after="0" w:line="240" w:lineRule="auto"/>
        <w:jc w:val="both"/>
        <w:rPr>
          <w:rFonts w:eastAsia="Times New Roman" w:cs="Times New Roman"/>
          <w:b/>
          <w:sz w:val="24"/>
          <w:szCs w:val="24"/>
          <w:lang w:eastAsia="el-GR"/>
        </w:rPr>
      </w:pPr>
      <w:r w:rsidRPr="00A8311A">
        <w:rPr>
          <w:rFonts w:eastAsia="Times New Roman" w:cs="Times New Roman"/>
          <w:b/>
          <w:sz w:val="24"/>
          <w:szCs w:val="24"/>
          <w:lang w:eastAsia="el-GR"/>
        </w:rPr>
        <w:t xml:space="preserve">Ι.A </w:t>
      </w:r>
      <w:proofErr w:type="spellStart"/>
      <w:r w:rsidRPr="00A8311A">
        <w:rPr>
          <w:rFonts w:eastAsia="Times New Roman" w:cs="Times New Roman"/>
          <w:b/>
          <w:sz w:val="24"/>
          <w:szCs w:val="24"/>
          <w:lang w:eastAsia="el-GR"/>
        </w:rPr>
        <w:t>Εµπορικό</w:t>
      </w:r>
      <w:proofErr w:type="spellEnd"/>
      <w:r w:rsidRPr="00A8311A">
        <w:rPr>
          <w:rFonts w:eastAsia="Times New Roman" w:cs="Times New Roman"/>
          <w:b/>
          <w:sz w:val="24"/>
          <w:szCs w:val="24"/>
          <w:lang w:eastAsia="el-GR"/>
        </w:rPr>
        <w:t xml:space="preserve"> ισοζύγιο (I.Α.1–I.Α.2)</w:t>
      </w:r>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ascii="Times New Roman" w:eastAsia="Times New Roman" w:hAnsi="Times New Roman" w:cs="Times New Roman"/>
          <w:sz w:val="24"/>
          <w:szCs w:val="24"/>
          <w:lang w:eastAsia="el-GR"/>
        </w:rPr>
        <w:t>I.A.1 Εξαγωγές αγαθών</w:t>
      </w:r>
    </w:p>
    <w:p w:rsidR="00A8311A" w:rsidRPr="00A8311A" w:rsidRDefault="00A8311A" w:rsidP="00A8311A">
      <w:pPr>
        <w:spacing w:after="0" w:line="240" w:lineRule="auto"/>
        <w:jc w:val="both"/>
        <w:rPr>
          <w:rFonts w:eastAsia="Times New Roman" w:cs="Times New Roman"/>
          <w:b/>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r w:rsidRPr="00A8311A">
        <w:rPr>
          <w:rFonts w:ascii="Times New Roman" w:eastAsia="Times New Roman" w:hAnsi="Times New Roman" w:cs="Times New Roman"/>
          <w:sz w:val="24"/>
          <w:szCs w:val="24"/>
          <w:lang w:eastAsia="el-GR"/>
        </w:rPr>
        <w:t>I.A.2 Εισαγωγές αγαθών</w:t>
      </w:r>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eastAsia="Times New Roman" w:cs="Times New Roman"/>
          <w:b/>
          <w:sz w:val="24"/>
          <w:szCs w:val="24"/>
          <w:lang w:eastAsia="el-GR"/>
        </w:rPr>
      </w:pPr>
      <w:r w:rsidRPr="00A8311A">
        <w:rPr>
          <w:rFonts w:ascii="Times New Roman" w:eastAsia="Times New Roman" w:hAnsi="Times New Roman" w:cs="Times New Roman"/>
          <w:b/>
          <w:sz w:val="24"/>
          <w:szCs w:val="24"/>
          <w:lang w:eastAsia="el-GR"/>
        </w:rPr>
        <w:t>Ι.Β Ισοζύγιο υπηρεσιών (I.Β.1–I.Β.2)</w:t>
      </w:r>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r w:rsidRPr="00A8311A">
        <w:rPr>
          <w:rFonts w:ascii="Times New Roman" w:eastAsia="Times New Roman" w:hAnsi="Times New Roman" w:cs="Times New Roman"/>
          <w:sz w:val="24"/>
          <w:szCs w:val="24"/>
          <w:lang w:eastAsia="el-GR"/>
        </w:rPr>
        <w:t>I.B.1 Εισπράξεις</w:t>
      </w: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r w:rsidRPr="00A8311A">
        <w:rPr>
          <w:rFonts w:ascii="Times New Roman" w:eastAsia="Times New Roman" w:hAnsi="Times New Roman" w:cs="Times New Roman"/>
          <w:sz w:val="24"/>
          <w:szCs w:val="24"/>
          <w:lang w:eastAsia="el-GR"/>
        </w:rPr>
        <w:t xml:space="preserve">I.B.2 </w:t>
      </w:r>
      <w:proofErr w:type="spellStart"/>
      <w:r w:rsidRPr="00A8311A">
        <w:rPr>
          <w:rFonts w:ascii="Times New Roman" w:eastAsia="Times New Roman" w:hAnsi="Times New Roman" w:cs="Times New Roman"/>
          <w:sz w:val="24"/>
          <w:szCs w:val="24"/>
          <w:lang w:eastAsia="el-GR"/>
        </w:rPr>
        <w:t>Πληρωµές</w:t>
      </w:r>
      <w:proofErr w:type="spellEnd"/>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r w:rsidRPr="00A8311A">
        <w:rPr>
          <w:rFonts w:ascii="Times New Roman" w:eastAsia="Times New Roman" w:hAnsi="Times New Roman" w:cs="Times New Roman"/>
          <w:b/>
          <w:sz w:val="24"/>
          <w:szCs w:val="24"/>
          <w:lang w:eastAsia="el-GR"/>
        </w:rPr>
        <w:t xml:space="preserve">Ι.Γ Ισοζύγιο πρωτογενών </w:t>
      </w:r>
      <w:proofErr w:type="spellStart"/>
      <w:r w:rsidRPr="00A8311A">
        <w:rPr>
          <w:rFonts w:ascii="Times New Roman" w:eastAsia="Times New Roman" w:hAnsi="Times New Roman" w:cs="Times New Roman"/>
          <w:b/>
          <w:sz w:val="24"/>
          <w:szCs w:val="24"/>
          <w:lang w:eastAsia="el-GR"/>
        </w:rPr>
        <w:t>εισοδηµάτων</w:t>
      </w:r>
      <w:proofErr w:type="spellEnd"/>
      <w:r w:rsidRPr="00A8311A">
        <w:rPr>
          <w:rFonts w:ascii="Times New Roman" w:eastAsia="Times New Roman" w:hAnsi="Times New Roman" w:cs="Times New Roman"/>
          <w:b/>
          <w:sz w:val="24"/>
          <w:szCs w:val="24"/>
          <w:lang w:eastAsia="el-GR"/>
        </w:rPr>
        <w:t xml:space="preserve"> (I.Γ.1–I.Γ.2)</w:t>
      </w:r>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r w:rsidRPr="00A8311A">
        <w:rPr>
          <w:rFonts w:ascii="Times New Roman" w:eastAsia="Times New Roman" w:hAnsi="Times New Roman" w:cs="Times New Roman"/>
          <w:sz w:val="24"/>
          <w:szCs w:val="24"/>
          <w:lang w:eastAsia="el-GR"/>
        </w:rPr>
        <w:t>Ι.Γ.1 Εισπράξεις</w:t>
      </w: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eastAsia="Times New Roman" w:cs="Times New Roman"/>
          <w:sz w:val="24"/>
          <w:szCs w:val="24"/>
          <w:lang w:eastAsia="el-GR"/>
        </w:rPr>
        <w:t xml:space="preserve">Ι.Γ.2 </w:t>
      </w:r>
      <w:proofErr w:type="spellStart"/>
      <w:r w:rsidRPr="00A8311A">
        <w:rPr>
          <w:rFonts w:eastAsia="Times New Roman" w:cs="Times New Roman"/>
          <w:sz w:val="24"/>
          <w:szCs w:val="24"/>
          <w:lang w:eastAsia="el-GR"/>
        </w:rPr>
        <w:t>Πληρωµές</w:t>
      </w:r>
      <w:proofErr w:type="spellEnd"/>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r w:rsidRPr="00A8311A">
        <w:rPr>
          <w:rFonts w:ascii="Times New Roman" w:eastAsia="Times New Roman" w:hAnsi="Times New Roman" w:cs="Times New Roman"/>
          <w:b/>
          <w:sz w:val="24"/>
          <w:szCs w:val="24"/>
          <w:lang w:eastAsia="el-GR"/>
        </w:rPr>
        <w:t xml:space="preserve">Ι.∆ Ισοζύγιο δευτερογενών </w:t>
      </w:r>
      <w:proofErr w:type="spellStart"/>
      <w:r w:rsidRPr="00A8311A">
        <w:rPr>
          <w:rFonts w:ascii="Times New Roman" w:eastAsia="Times New Roman" w:hAnsi="Times New Roman" w:cs="Times New Roman"/>
          <w:b/>
          <w:sz w:val="24"/>
          <w:szCs w:val="24"/>
          <w:lang w:eastAsia="el-GR"/>
        </w:rPr>
        <w:t>εισοδηµάτων</w:t>
      </w:r>
      <w:proofErr w:type="spellEnd"/>
      <w:r w:rsidRPr="00A8311A">
        <w:rPr>
          <w:rFonts w:ascii="Times New Roman" w:eastAsia="Times New Roman" w:hAnsi="Times New Roman" w:cs="Times New Roman"/>
          <w:b/>
          <w:sz w:val="24"/>
          <w:szCs w:val="24"/>
          <w:lang w:eastAsia="el-GR"/>
        </w:rPr>
        <w:t xml:space="preserve"> (I.∆.1–I.∆.2)</w:t>
      </w:r>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r w:rsidRPr="00A8311A">
        <w:rPr>
          <w:rFonts w:ascii="Times New Roman" w:eastAsia="Times New Roman" w:hAnsi="Times New Roman" w:cs="Times New Roman"/>
          <w:sz w:val="24"/>
          <w:szCs w:val="24"/>
          <w:lang w:eastAsia="el-GR"/>
        </w:rPr>
        <w:t>Ι.∆.1 Εισπράξεις</w:t>
      </w: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r w:rsidRPr="00A8311A">
        <w:rPr>
          <w:rFonts w:ascii="Times New Roman" w:eastAsia="Times New Roman" w:hAnsi="Times New Roman" w:cs="Times New Roman"/>
          <w:sz w:val="24"/>
          <w:szCs w:val="24"/>
          <w:lang w:eastAsia="el-GR"/>
        </w:rPr>
        <w:t xml:space="preserve">Ι.∆.2 </w:t>
      </w:r>
      <w:proofErr w:type="spellStart"/>
      <w:r w:rsidRPr="00A8311A">
        <w:rPr>
          <w:rFonts w:ascii="Times New Roman" w:eastAsia="Times New Roman" w:hAnsi="Times New Roman" w:cs="Times New Roman"/>
          <w:sz w:val="24"/>
          <w:szCs w:val="24"/>
          <w:lang w:eastAsia="el-GR"/>
        </w:rPr>
        <w:t>Πληρωµές</w:t>
      </w:r>
      <w:proofErr w:type="spellEnd"/>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i/>
          <w:sz w:val="24"/>
          <w:szCs w:val="24"/>
          <w:u w:val="single"/>
          <w:lang w:eastAsia="el-GR"/>
        </w:rPr>
      </w:pPr>
      <w:r w:rsidRPr="00A8311A">
        <w:rPr>
          <w:rFonts w:ascii="Times New Roman" w:eastAsia="Times New Roman" w:hAnsi="Times New Roman" w:cs="Times New Roman"/>
          <w:b/>
          <w:i/>
          <w:sz w:val="24"/>
          <w:szCs w:val="24"/>
          <w:u w:val="single"/>
          <w:lang w:eastAsia="el-GR"/>
        </w:rPr>
        <w:t>ΙΙ ΙΣΟΖΥΓΙΟ ΚΕΦΑΛΑΙΩΝ (IΙ.1–IΙ.2)</w:t>
      </w:r>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r w:rsidRPr="00A8311A">
        <w:rPr>
          <w:rFonts w:ascii="Times New Roman" w:eastAsia="Times New Roman" w:hAnsi="Times New Roman" w:cs="Times New Roman"/>
          <w:sz w:val="24"/>
          <w:szCs w:val="24"/>
          <w:lang w:eastAsia="el-GR"/>
        </w:rPr>
        <w:t>ΙΙ.1 Εισπράξεις</w:t>
      </w: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r w:rsidRPr="00A8311A">
        <w:rPr>
          <w:rFonts w:ascii="Times New Roman" w:eastAsia="Times New Roman" w:hAnsi="Times New Roman" w:cs="Times New Roman"/>
          <w:sz w:val="24"/>
          <w:szCs w:val="24"/>
          <w:lang w:eastAsia="el-GR"/>
        </w:rPr>
        <w:t xml:space="preserve">ΙΙ.2 </w:t>
      </w:r>
      <w:proofErr w:type="spellStart"/>
      <w:r w:rsidRPr="00A8311A">
        <w:rPr>
          <w:rFonts w:ascii="Times New Roman" w:eastAsia="Times New Roman" w:hAnsi="Times New Roman" w:cs="Times New Roman"/>
          <w:sz w:val="24"/>
          <w:szCs w:val="24"/>
          <w:lang w:eastAsia="el-GR"/>
        </w:rPr>
        <w:t>Πληρωµές</w:t>
      </w:r>
      <w:proofErr w:type="spellEnd"/>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color w:val="FF0000"/>
          <w:sz w:val="24"/>
          <w:szCs w:val="24"/>
          <w:lang w:eastAsia="el-GR"/>
        </w:rPr>
      </w:pPr>
      <w:r w:rsidRPr="00A8311A">
        <w:rPr>
          <w:rFonts w:ascii="Times New Roman" w:eastAsia="Times New Roman" w:hAnsi="Times New Roman" w:cs="Times New Roman"/>
          <w:b/>
          <w:color w:val="FF0000"/>
          <w:sz w:val="24"/>
          <w:szCs w:val="24"/>
          <w:lang w:eastAsia="el-GR"/>
        </w:rPr>
        <w:t xml:space="preserve">(I+II): ΙΣΟΖΥΓΙΟ ΤΡΕΧΟΥΣΩΝ ΣΥΝΑΛΛΑΓΩΝ ΚΑΙ ΚΕΦΑΛΑΙΩΝ </w:t>
      </w: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i/>
          <w:sz w:val="24"/>
          <w:szCs w:val="24"/>
          <w:u w:val="single"/>
          <w:lang w:eastAsia="el-GR"/>
        </w:rPr>
      </w:pPr>
      <w:r w:rsidRPr="00A8311A">
        <w:rPr>
          <w:rFonts w:ascii="Times New Roman" w:eastAsia="Times New Roman" w:hAnsi="Times New Roman" w:cs="Times New Roman"/>
          <w:b/>
          <w:i/>
          <w:sz w:val="24"/>
          <w:szCs w:val="24"/>
          <w:u w:val="single"/>
          <w:lang w:eastAsia="el-GR"/>
        </w:rPr>
        <w:t>ΙΙΙ ΙΣΟΖΥΓΙΟ ΧΡΗΜΑΤ/ΝΟΜΙΚΩΝ ΣΥΝΑΛΛΑΓΩΝ (ΙΙΙ.Α+</w:t>
      </w:r>
      <w:r w:rsidRPr="00A8311A">
        <w:rPr>
          <w:rFonts w:ascii="Times New Roman" w:eastAsia="Times New Roman" w:hAnsi="Times New Roman" w:cs="Times New Roman"/>
          <w:b/>
          <w:i/>
          <w:sz w:val="24"/>
          <w:szCs w:val="24"/>
          <w:u w:val="single"/>
          <w:lang w:val="de-DE" w:eastAsia="el-GR"/>
        </w:rPr>
        <w:t>I</w:t>
      </w:r>
      <w:r w:rsidRPr="00A8311A">
        <w:rPr>
          <w:rFonts w:ascii="Times New Roman" w:eastAsia="Times New Roman" w:hAnsi="Times New Roman" w:cs="Times New Roman"/>
          <w:b/>
          <w:i/>
          <w:sz w:val="24"/>
          <w:szCs w:val="24"/>
          <w:u w:val="single"/>
          <w:lang w:eastAsia="el-GR"/>
        </w:rPr>
        <w:t>ΙΙ.Β+</w:t>
      </w:r>
      <w:r w:rsidRPr="00A8311A">
        <w:rPr>
          <w:rFonts w:ascii="Times New Roman" w:eastAsia="Times New Roman" w:hAnsi="Times New Roman" w:cs="Times New Roman"/>
          <w:b/>
          <w:i/>
          <w:sz w:val="24"/>
          <w:szCs w:val="24"/>
          <w:u w:val="single"/>
          <w:lang w:val="de-DE" w:eastAsia="el-GR"/>
        </w:rPr>
        <w:t>I</w:t>
      </w:r>
      <w:r w:rsidRPr="00A8311A">
        <w:rPr>
          <w:rFonts w:ascii="Times New Roman" w:eastAsia="Times New Roman" w:hAnsi="Times New Roman" w:cs="Times New Roman"/>
          <w:b/>
          <w:i/>
          <w:sz w:val="24"/>
          <w:szCs w:val="24"/>
          <w:u w:val="single"/>
          <w:lang w:eastAsia="el-GR"/>
        </w:rPr>
        <w:t>ΙΙ.Γ+</w:t>
      </w:r>
      <w:r w:rsidRPr="00A8311A">
        <w:rPr>
          <w:rFonts w:ascii="Times New Roman" w:eastAsia="Times New Roman" w:hAnsi="Times New Roman" w:cs="Times New Roman"/>
          <w:b/>
          <w:i/>
          <w:sz w:val="24"/>
          <w:szCs w:val="24"/>
          <w:u w:val="single"/>
          <w:lang w:val="de-DE" w:eastAsia="el-GR"/>
        </w:rPr>
        <w:t>I</w:t>
      </w:r>
      <w:r w:rsidRPr="00A8311A">
        <w:rPr>
          <w:rFonts w:ascii="Times New Roman" w:eastAsia="Times New Roman" w:hAnsi="Times New Roman" w:cs="Times New Roman"/>
          <w:b/>
          <w:i/>
          <w:sz w:val="24"/>
          <w:szCs w:val="24"/>
          <w:u w:val="single"/>
          <w:lang w:eastAsia="el-GR"/>
        </w:rPr>
        <w:t>ΙΙ.∆)</w:t>
      </w:r>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r w:rsidRPr="00A8311A">
        <w:rPr>
          <w:rFonts w:ascii="Times New Roman" w:eastAsia="Times New Roman" w:hAnsi="Times New Roman" w:cs="Times New Roman"/>
          <w:b/>
          <w:sz w:val="24"/>
          <w:szCs w:val="24"/>
          <w:lang w:eastAsia="el-GR"/>
        </w:rPr>
        <w:t xml:space="preserve">ΙΙΙ.Α </w:t>
      </w:r>
      <w:proofErr w:type="spellStart"/>
      <w:r w:rsidRPr="00A8311A">
        <w:rPr>
          <w:rFonts w:ascii="Times New Roman" w:eastAsia="Times New Roman" w:hAnsi="Times New Roman" w:cs="Times New Roman"/>
          <w:b/>
          <w:sz w:val="24"/>
          <w:szCs w:val="24"/>
          <w:lang w:eastAsia="el-GR"/>
        </w:rPr>
        <w:t>Άµεσες</w:t>
      </w:r>
      <w:proofErr w:type="spellEnd"/>
      <w:r w:rsidRPr="00A8311A">
        <w:rPr>
          <w:rFonts w:ascii="Times New Roman" w:eastAsia="Times New Roman" w:hAnsi="Times New Roman" w:cs="Times New Roman"/>
          <w:b/>
          <w:sz w:val="24"/>
          <w:szCs w:val="24"/>
          <w:lang w:eastAsia="el-GR"/>
        </w:rPr>
        <w:t xml:space="preserve"> επενδύσεις</w:t>
      </w: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r w:rsidRPr="00A8311A">
        <w:rPr>
          <w:rFonts w:ascii="Times New Roman" w:eastAsia="Times New Roman" w:hAnsi="Times New Roman" w:cs="Times New Roman"/>
          <w:b/>
          <w:sz w:val="24"/>
          <w:szCs w:val="24"/>
          <w:lang w:eastAsia="el-GR"/>
        </w:rPr>
        <w:t>ΙΙΙ.Β Επενδύσεις χαρτοφυλακίου</w:t>
      </w: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r w:rsidRPr="00A8311A">
        <w:rPr>
          <w:rFonts w:ascii="Times New Roman" w:eastAsia="Times New Roman" w:hAnsi="Times New Roman" w:cs="Times New Roman"/>
          <w:b/>
          <w:sz w:val="24"/>
          <w:szCs w:val="24"/>
          <w:lang w:eastAsia="el-GR"/>
        </w:rPr>
        <w:t>ΙΙΙ.Γ Λοιπές επενδύσεις</w:t>
      </w: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r w:rsidRPr="00A8311A">
        <w:rPr>
          <w:rFonts w:ascii="Times New Roman" w:eastAsia="Times New Roman" w:hAnsi="Times New Roman" w:cs="Times New Roman"/>
          <w:b/>
          <w:sz w:val="24"/>
          <w:szCs w:val="24"/>
          <w:lang w:eastAsia="el-GR"/>
        </w:rPr>
        <w:t xml:space="preserve">ΙΙΙ.∆ Μεταβολή </w:t>
      </w:r>
      <w:proofErr w:type="spellStart"/>
      <w:r w:rsidRPr="00A8311A">
        <w:rPr>
          <w:rFonts w:ascii="Times New Roman" w:eastAsia="Times New Roman" w:hAnsi="Times New Roman" w:cs="Times New Roman"/>
          <w:b/>
          <w:sz w:val="24"/>
          <w:szCs w:val="24"/>
          <w:lang w:eastAsia="el-GR"/>
        </w:rPr>
        <w:t>συναλλαγµατικώνδιαθεσίµων</w:t>
      </w:r>
      <w:proofErr w:type="spellEnd"/>
    </w:p>
    <w:p w:rsidR="00A8311A" w:rsidRPr="00A8311A" w:rsidRDefault="00A8311A" w:rsidP="00A8311A">
      <w:pPr>
        <w:spacing w:after="0" w:line="240" w:lineRule="auto"/>
        <w:jc w:val="both"/>
        <w:rPr>
          <w:rFonts w:ascii="Times New Roman" w:eastAsia="Times New Roman" w:hAnsi="Times New Roman" w:cs="Times New Roman"/>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r w:rsidRPr="00A8311A">
        <w:rPr>
          <w:rFonts w:ascii="Times New Roman" w:eastAsia="Times New Roman" w:hAnsi="Times New Roman" w:cs="Times New Roman"/>
          <w:b/>
          <w:sz w:val="24"/>
          <w:szCs w:val="24"/>
          <w:lang w:eastAsia="el-GR"/>
        </w:rPr>
        <w:t>ΙV ΤΑΚΤΟΠΟΙΗΤΕΑ ΣΤΟΙΧΕΙΑ (Ι + ΙΙ - III + IV=0)</w:t>
      </w: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p>
    <w:p w:rsidR="00A8311A" w:rsidRPr="00A8311A" w:rsidRDefault="00A8311A" w:rsidP="00A8311A">
      <w:pPr>
        <w:spacing w:after="0" w:line="240" w:lineRule="auto"/>
        <w:jc w:val="both"/>
        <w:rPr>
          <w:rFonts w:ascii="Times New Roman" w:eastAsia="Times New Roman" w:hAnsi="Times New Roman" w:cs="Times New Roman"/>
          <w:b/>
          <w:sz w:val="24"/>
          <w:szCs w:val="24"/>
          <w:lang w:eastAsia="el-GR"/>
        </w:rPr>
      </w:pPr>
      <w:r w:rsidRPr="00A8311A">
        <w:rPr>
          <w:rFonts w:ascii="Times New Roman" w:eastAsia="Times New Roman" w:hAnsi="Times New Roman" w:cs="Times New Roman"/>
          <w:b/>
          <w:sz w:val="24"/>
          <w:szCs w:val="24"/>
          <w:lang w:eastAsia="el-GR"/>
        </w:rPr>
        <w:t xml:space="preserve">ΥΨΟΣ ΣΥΝΑΛΛΑΓΜΑΤΙΚΩΝ </w:t>
      </w:r>
      <w:proofErr w:type="spellStart"/>
      <w:r w:rsidRPr="00A8311A">
        <w:rPr>
          <w:rFonts w:ascii="Times New Roman" w:eastAsia="Times New Roman" w:hAnsi="Times New Roman" w:cs="Times New Roman"/>
          <w:b/>
          <w:sz w:val="24"/>
          <w:szCs w:val="24"/>
          <w:lang w:eastAsia="el-GR"/>
        </w:rPr>
        <w:t>∆ΙΑΘΕΣΙΜΩΝ</w:t>
      </w:r>
      <w:proofErr w:type="spellEnd"/>
    </w:p>
    <w:p w:rsidR="00A8311A" w:rsidRPr="00A8311A" w:rsidRDefault="00A8311A" w:rsidP="00A8311A">
      <w:pPr>
        <w:spacing w:after="0" w:line="240" w:lineRule="auto"/>
        <w:jc w:val="both"/>
        <w:rPr>
          <w:rFonts w:eastAsia="Times New Roman" w:cs="Times New Roman"/>
          <w:sz w:val="24"/>
          <w:szCs w:val="24"/>
          <w:lang w:eastAsia="el-GR"/>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8"/>
        <w:gridCol w:w="1701"/>
        <w:gridCol w:w="1701"/>
        <w:gridCol w:w="1559"/>
      </w:tblGrid>
      <w:tr w:rsidR="00A8311A" w:rsidRPr="00A8311A" w:rsidTr="000A2BDF">
        <w:trPr>
          <w:trHeight w:val="795"/>
        </w:trPr>
        <w:tc>
          <w:tcPr>
            <w:tcW w:w="4268" w:type="dxa"/>
            <w:shd w:val="clear" w:color="auto" w:fill="auto"/>
            <w:noWrap/>
            <w:vAlign w:val="center"/>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ΙΣΟΖΥΓΙΟ ΠΛΗΡΩΜΩΝ ΕΛΛΑΔΟΣ (εκατ. ευρώ)</w:t>
            </w:r>
          </w:p>
        </w:tc>
        <w:tc>
          <w:tcPr>
            <w:tcW w:w="1701" w:type="dxa"/>
            <w:vAlign w:val="center"/>
          </w:tcPr>
          <w:p w:rsidR="00A8311A" w:rsidRPr="00A8311A" w:rsidRDefault="00A8311A" w:rsidP="00A8311A">
            <w:pPr>
              <w:jc w:val="center"/>
              <w:rPr>
                <w:rFonts w:cs="Arial"/>
                <w:b/>
                <w:bCs/>
                <w:sz w:val="24"/>
                <w:szCs w:val="24"/>
              </w:rPr>
            </w:pPr>
            <w:r w:rsidRPr="00A8311A">
              <w:rPr>
                <w:rFonts w:cs="Arial"/>
                <w:b/>
                <w:bCs/>
                <w:sz w:val="24"/>
                <w:szCs w:val="24"/>
              </w:rPr>
              <w:t>2009</w:t>
            </w:r>
          </w:p>
        </w:tc>
        <w:tc>
          <w:tcPr>
            <w:tcW w:w="1701" w:type="dxa"/>
            <w:vAlign w:val="center"/>
          </w:tcPr>
          <w:p w:rsidR="00A8311A" w:rsidRPr="00A8311A" w:rsidRDefault="00A8311A" w:rsidP="00A8311A">
            <w:pPr>
              <w:jc w:val="center"/>
              <w:rPr>
                <w:rFonts w:cs="Arial"/>
                <w:b/>
                <w:bCs/>
                <w:sz w:val="24"/>
                <w:szCs w:val="24"/>
              </w:rPr>
            </w:pPr>
            <w:r w:rsidRPr="00A8311A">
              <w:rPr>
                <w:rFonts w:cs="Arial"/>
                <w:b/>
                <w:bCs/>
                <w:sz w:val="24"/>
                <w:szCs w:val="24"/>
              </w:rPr>
              <w:t xml:space="preserve">    2014</w:t>
            </w:r>
          </w:p>
        </w:tc>
        <w:tc>
          <w:tcPr>
            <w:tcW w:w="1559" w:type="dxa"/>
            <w:vAlign w:val="center"/>
          </w:tcPr>
          <w:p w:rsidR="00A8311A" w:rsidRPr="00A8311A" w:rsidRDefault="00A8311A" w:rsidP="00A8311A">
            <w:pPr>
              <w:jc w:val="center"/>
              <w:rPr>
                <w:rFonts w:cs="Arial"/>
                <w:b/>
                <w:bCs/>
                <w:sz w:val="24"/>
                <w:szCs w:val="24"/>
              </w:rPr>
            </w:pPr>
            <w:r w:rsidRPr="00A8311A">
              <w:rPr>
                <w:rFonts w:cs="Arial"/>
                <w:b/>
                <w:bCs/>
                <w:sz w:val="24"/>
                <w:szCs w:val="24"/>
              </w:rPr>
              <w:t>2015</w:t>
            </w:r>
          </w:p>
        </w:tc>
      </w:tr>
      <w:tr w:rsidR="00A8311A" w:rsidRPr="00A8311A" w:rsidTr="000A2BDF">
        <w:trPr>
          <w:trHeight w:val="270"/>
        </w:trPr>
        <w:tc>
          <w:tcPr>
            <w:tcW w:w="4268" w:type="dxa"/>
            <w:shd w:val="clear" w:color="auto" w:fill="auto"/>
            <w:noWrap/>
            <w:vAlign w:val="center"/>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w:t>
            </w:r>
          </w:p>
        </w:tc>
        <w:tc>
          <w:tcPr>
            <w:tcW w:w="1701" w:type="dxa"/>
            <w:vAlign w:val="bottom"/>
          </w:tcPr>
          <w:p w:rsidR="00A8311A" w:rsidRPr="00A8311A" w:rsidRDefault="00A8311A" w:rsidP="00A8311A">
            <w:pPr>
              <w:jc w:val="right"/>
              <w:rPr>
                <w:rFonts w:cs="Arial"/>
                <w:b/>
                <w:bCs/>
                <w:sz w:val="24"/>
                <w:szCs w:val="24"/>
              </w:rPr>
            </w:pPr>
          </w:p>
        </w:tc>
        <w:tc>
          <w:tcPr>
            <w:tcW w:w="1701" w:type="dxa"/>
            <w:vAlign w:val="bottom"/>
          </w:tcPr>
          <w:p w:rsidR="00A8311A" w:rsidRPr="00A8311A" w:rsidRDefault="00A8311A" w:rsidP="00A8311A">
            <w:pPr>
              <w:jc w:val="right"/>
              <w:rPr>
                <w:rFonts w:cs="Arial"/>
                <w:b/>
                <w:bCs/>
                <w:sz w:val="24"/>
                <w:szCs w:val="24"/>
              </w:rPr>
            </w:pPr>
          </w:p>
        </w:tc>
        <w:tc>
          <w:tcPr>
            <w:tcW w:w="1559" w:type="dxa"/>
            <w:vAlign w:val="bottom"/>
          </w:tcPr>
          <w:p w:rsidR="00A8311A" w:rsidRPr="00A8311A" w:rsidRDefault="00A8311A" w:rsidP="00A8311A">
            <w:pPr>
              <w:jc w:val="right"/>
              <w:rPr>
                <w:rFonts w:cs="Arial"/>
                <w:b/>
                <w:bCs/>
                <w:sz w:val="24"/>
                <w:szCs w:val="24"/>
              </w:rPr>
            </w:pP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ΙΣΟΖΥΓΙΟ ΤΡΕΧΟΥΣΩΝ ΣΥΝ/ΓΩΝ ( Ι.Α + Ι.Β + Ι.Γ + Ι.Δ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-29.374,3</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-3.767,4</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-97,6</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 </w:t>
            </w:r>
          </w:p>
        </w:tc>
        <w:tc>
          <w:tcPr>
            <w:tcW w:w="1701" w:type="dxa"/>
            <w:vAlign w:val="bottom"/>
          </w:tcPr>
          <w:p w:rsidR="00A8311A" w:rsidRPr="00A8311A" w:rsidRDefault="00A8311A" w:rsidP="00A8311A">
            <w:pPr>
              <w:jc w:val="right"/>
              <w:rPr>
                <w:rFonts w:cs="Arial"/>
                <w:b/>
                <w:bCs/>
                <w:sz w:val="24"/>
                <w:szCs w:val="24"/>
              </w:rPr>
            </w:pPr>
          </w:p>
        </w:tc>
        <w:tc>
          <w:tcPr>
            <w:tcW w:w="1559" w:type="dxa"/>
            <w:vAlign w:val="bottom"/>
          </w:tcPr>
          <w:p w:rsidR="00A8311A" w:rsidRPr="00A8311A" w:rsidRDefault="00A8311A" w:rsidP="00A8311A">
            <w:pPr>
              <w:jc w:val="right"/>
              <w:rPr>
                <w:rFonts w:cs="Arial"/>
                <w:b/>
                <w:bCs/>
                <w:sz w:val="24"/>
                <w:szCs w:val="24"/>
              </w:rPr>
            </w:pP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i/>
                <w:iCs/>
                <w:sz w:val="24"/>
                <w:szCs w:val="24"/>
                <w:lang w:eastAsia="el-GR"/>
              </w:rPr>
            </w:pPr>
            <w:r w:rsidRPr="00A8311A">
              <w:rPr>
                <w:rFonts w:eastAsia="Times New Roman" w:cs="Arial"/>
                <w:b/>
                <w:bCs/>
                <w:i/>
                <w:iCs/>
                <w:sz w:val="24"/>
                <w:szCs w:val="24"/>
                <w:lang w:eastAsia="el-GR"/>
              </w:rPr>
              <w:t>ΙΣΟΖΥΓΙΟ ΑΓΑΘΩΝ ΚΑΙ ΥΠΗΡΕΣΙΩΝ ( I.Α +  I.B)</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-21.682,7</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-4.006,3</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-315,4</w:t>
            </w: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ΙΣΟΖΥΓΙΟ ΑΓΑΘΩΝ ( I.Α.1 -  I.Α.2)</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-33.187,4</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-22.279,4</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-17.247,8</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ΙΣΟΖΥΓΙΟ  καυσίμων</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-5.645,0</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-6.275,4</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-4.208,1</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ΙΣΟΖΥΓΙΟ ΑΓΑΘΩΝ χωρίς καύσιμα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-27.542,4</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-16.004,0</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-13.039,7</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ΙΣΟΖΥΓΙΟ  πλοίων</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-3.356,9</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-2.173,1</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-447,8</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ΙΣΟΖΥΓΙΟ ΑΓΑΘΩΝ χωρίς πλοία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-29.830,5</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-20.106,3</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-16.800,1</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ΙΣΟΖΥΓΙΟ ΑΓΑΘΩΝ χωρίς καύσιμα και πλοία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-24.185,5</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-13.830,9</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-12.591,9</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Εξαγωγές  αγαθών</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17.721,0</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26.788,0</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24.787,2</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Καύσιμα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2.771,3</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9.049,8</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6.713,7</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Πλοία (πωλήσεις)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771,7</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626,0</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175,5</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Αγαθά χωρίς καύσιμα και πλοία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14.178,0</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17.112,1</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17.898,0</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Εισαγωγές  αγαθών</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50.908,4</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49.067,4</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42.035,0</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Καύσιμα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8.416,3</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15.325,2</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10.921,8</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Πλοία (αγορές)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4.128,6</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2.799,2</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623,2</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Αγαθά χωρίς καύσιμα και πλοία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38.363,5</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30.943,0</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30.489,9</w:t>
            </w: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ΙΣΟΖΥΓΙΟ ΥΠΗΡΕΣΙΩΝ ( I.Β.1 -  I.Β.2)</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11.504,7</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18.273,2</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16.932,4</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xml:space="preserve">Εισπράξεις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27.099,0</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31.051,3</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27.919,2</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lastRenderedPageBreak/>
              <w:t>Ταξιδιωτικό</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10.400,3</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13.393,1</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14.125,8</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Μεταφορές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13.517,6</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13.130,8</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9.968,3</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Λοιπές υπηρεσίες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3.181,1</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4.527,4</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3.825,0</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xml:space="preserve">Πληρωμές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15.594,3</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12.778,1</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10.986,8</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Ταξιδιωτικό</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2.424,6</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2.076,4</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2.037,4</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Μεταφορές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7.962,2</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6.258,6</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5.430,0</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Λοιπές υπηρεσίες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5.207,5</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4.443,1</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3.519,4</w:t>
            </w: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ΙΣΟΖΥΓΙΟ ΠΡΩΤΟΓΕΝΩΝ ΕΙΣΟΔΗΜΑΤΩΝ (I.Γ.1 -  I.Γ.2)</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-6.740,2</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573,6</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739,3</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xml:space="preserve">Εισπράξεις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6.928,9</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6.867,4</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5.942,8</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Από εργασία (</w:t>
            </w:r>
            <w:proofErr w:type="spellStart"/>
            <w:r w:rsidRPr="00A8311A">
              <w:rPr>
                <w:rFonts w:eastAsia="Times New Roman" w:cs="Arial"/>
                <w:sz w:val="24"/>
                <w:szCs w:val="24"/>
                <w:lang w:eastAsia="el-GR"/>
              </w:rPr>
              <w:t>αμοιβές,μισθοί</w:t>
            </w:r>
            <w:proofErr w:type="spellEnd"/>
            <w:r w:rsidRPr="00A8311A">
              <w:rPr>
                <w:rFonts w:eastAsia="Times New Roman" w:cs="Arial"/>
                <w:sz w:val="24"/>
                <w:szCs w:val="24"/>
                <w:lang w:eastAsia="el-GR"/>
              </w:rPr>
              <w:t>)</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294,6</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209,9</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153,8</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Από επενδύσεις (</w:t>
            </w:r>
            <w:proofErr w:type="spellStart"/>
            <w:r w:rsidRPr="00A8311A">
              <w:rPr>
                <w:rFonts w:eastAsia="Times New Roman" w:cs="Arial"/>
                <w:sz w:val="24"/>
                <w:szCs w:val="24"/>
                <w:lang w:eastAsia="el-GR"/>
              </w:rPr>
              <w:t>τόκοι,μερίσματα,κέρδη</w:t>
            </w:r>
            <w:proofErr w:type="spellEnd"/>
            <w:r w:rsidRPr="00A8311A">
              <w:rPr>
                <w:rFonts w:eastAsia="Times New Roman" w:cs="Arial"/>
                <w:sz w:val="24"/>
                <w:szCs w:val="24"/>
                <w:lang w:eastAsia="el-GR"/>
              </w:rPr>
              <w:t>)</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3.988,3</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3.241,5</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2.624,4</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Λοιπά πρωτογενή εισοδήματα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2.645,9</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3.416,1</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3.164,6</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xml:space="preserve">Πληρωμές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13.669,1</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6.293,8</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5.203,5</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Από εργασία (</w:t>
            </w:r>
            <w:proofErr w:type="spellStart"/>
            <w:r w:rsidRPr="00A8311A">
              <w:rPr>
                <w:rFonts w:eastAsia="Times New Roman" w:cs="Arial"/>
                <w:sz w:val="24"/>
                <w:szCs w:val="24"/>
                <w:lang w:eastAsia="el-GR"/>
              </w:rPr>
              <w:t>αμοιβές,μισθοί</w:t>
            </w:r>
            <w:proofErr w:type="spellEnd"/>
            <w:r w:rsidRPr="00A8311A">
              <w:rPr>
                <w:rFonts w:eastAsia="Times New Roman" w:cs="Arial"/>
                <w:sz w:val="24"/>
                <w:szCs w:val="24"/>
                <w:lang w:eastAsia="el-GR"/>
              </w:rPr>
              <w:t>)</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411,9</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491,7</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379,4</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Από επενδύσεις (</w:t>
            </w:r>
            <w:proofErr w:type="spellStart"/>
            <w:r w:rsidRPr="00A8311A">
              <w:rPr>
                <w:rFonts w:eastAsia="Times New Roman" w:cs="Arial"/>
                <w:sz w:val="24"/>
                <w:szCs w:val="24"/>
                <w:lang w:eastAsia="el-GR"/>
              </w:rPr>
              <w:t>τόκοι,μερίσματα,κέρδη</w:t>
            </w:r>
            <w:proofErr w:type="spellEnd"/>
            <w:r w:rsidRPr="00A8311A">
              <w:rPr>
                <w:rFonts w:eastAsia="Times New Roman" w:cs="Arial"/>
                <w:sz w:val="24"/>
                <w:szCs w:val="24"/>
                <w:lang w:eastAsia="el-GR"/>
              </w:rPr>
              <w:t>)</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12.855,2</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5.439,6</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4.525,0</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Λοιπά πρωτογενή εισοδήματα</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401,9</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362,6</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299,1</w:t>
            </w: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ΙΣΟΖΥΓΙΟ ΔΕΥΤΕΡΟΓΕΝΩΝ ΕΙΣΟΔΗΜΑΤΩΝ (I.Δ.1 - I.Δ.2)</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-951,4</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-334,7</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-521,5</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xml:space="preserve">Εισπράξεις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2.734,8</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2.550,7</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1.909,7</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Γενική κυβέρνηση</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882,0</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1.441,7</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1.054,9</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Λοιποί τομείς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1.852,8</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1.109,0</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854,9</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xml:space="preserve">Πληρωμές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3.686,2</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2.885,5</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2.431,2</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Γενική κυβέρνηση</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2.277,7</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2.054,7</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1.695,0</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Λοιποί τομείς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1.408,5</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830,8</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736,2</w:t>
            </w: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lastRenderedPageBreak/>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ΙΣΟΖΥΓΙΟ ΚΕΦΑΛΑΙΩΝ (II.1 - II.2)</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2.017,4</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2.510,6</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1.988,6</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xml:space="preserve">Εισπράξεις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2.328,1</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2.866,2</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2.369,5</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Γενική κυβέρνηση</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2.133,2</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2.789,8</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2.319,3</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Λοιποί τομείς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194,9</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76,4</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50,2</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xml:space="preserve">Πληρωμές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310,7</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355,6</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380,9</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Γενική κυβέρνηση</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14,4</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8,8</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4,1</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Λοιποί τομείς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296,3</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346,7</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376,8</w:t>
            </w: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70"/>
        </w:trPr>
        <w:tc>
          <w:tcPr>
            <w:tcW w:w="4268" w:type="dxa"/>
            <w:shd w:val="clear" w:color="auto" w:fill="auto"/>
            <w:vAlign w:val="bottom"/>
            <w:hideMark/>
          </w:tcPr>
          <w:p w:rsidR="00A8311A" w:rsidRPr="00A8311A" w:rsidRDefault="00A8311A" w:rsidP="00A8311A">
            <w:pPr>
              <w:spacing w:after="0" w:line="240" w:lineRule="auto"/>
              <w:rPr>
                <w:rFonts w:eastAsia="Times New Roman" w:cs="Arial"/>
                <w:b/>
                <w:bCs/>
                <w:i/>
                <w:iCs/>
                <w:sz w:val="24"/>
                <w:szCs w:val="24"/>
                <w:lang w:eastAsia="el-GR"/>
              </w:rPr>
            </w:pPr>
            <w:r w:rsidRPr="00A8311A">
              <w:rPr>
                <w:rFonts w:eastAsia="Times New Roman" w:cs="Arial"/>
                <w:b/>
                <w:bCs/>
                <w:i/>
                <w:iCs/>
                <w:sz w:val="24"/>
                <w:szCs w:val="24"/>
                <w:lang w:eastAsia="el-GR"/>
              </w:rPr>
              <w:t>ΙΣΟΖΥΓΙΟ ΤΡΕΧΟΥΣΩΝ ΣΥΝ/ΓΩΝ ΚΑΙ ΚΕΦΑΛΑΙΩΝ ( Ι + ΙΙ)</w:t>
            </w:r>
          </w:p>
        </w:tc>
        <w:tc>
          <w:tcPr>
            <w:tcW w:w="1701" w:type="dxa"/>
            <w:vAlign w:val="bottom"/>
          </w:tcPr>
          <w:p w:rsidR="00A8311A" w:rsidRPr="00A8311A" w:rsidRDefault="00A8311A" w:rsidP="00A8311A">
            <w:pPr>
              <w:jc w:val="right"/>
              <w:rPr>
                <w:rFonts w:cs="Arial"/>
                <w:b/>
                <w:bCs/>
                <w:i/>
                <w:iCs/>
                <w:sz w:val="24"/>
                <w:szCs w:val="24"/>
              </w:rPr>
            </w:pPr>
            <w:r w:rsidRPr="00A8311A">
              <w:rPr>
                <w:rFonts w:cs="Arial"/>
                <w:b/>
                <w:bCs/>
                <w:i/>
                <w:iCs/>
                <w:sz w:val="24"/>
                <w:szCs w:val="24"/>
              </w:rPr>
              <w:t>-27.356,9</w:t>
            </w:r>
          </w:p>
        </w:tc>
        <w:tc>
          <w:tcPr>
            <w:tcW w:w="1701" w:type="dxa"/>
            <w:vAlign w:val="bottom"/>
          </w:tcPr>
          <w:p w:rsidR="00A8311A" w:rsidRPr="00A8311A" w:rsidRDefault="00A8311A" w:rsidP="00A8311A">
            <w:pPr>
              <w:jc w:val="right"/>
              <w:rPr>
                <w:rFonts w:cs="Arial"/>
                <w:b/>
                <w:bCs/>
                <w:i/>
                <w:iCs/>
                <w:sz w:val="24"/>
                <w:szCs w:val="24"/>
              </w:rPr>
            </w:pPr>
            <w:r w:rsidRPr="00A8311A">
              <w:rPr>
                <w:rFonts w:cs="Arial"/>
                <w:b/>
                <w:bCs/>
                <w:i/>
                <w:iCs/>
                <w:sz w:val="24"/>
                <w:szCs w:val="24"/>
              </w:rPr>
              <w:t>-1.256,8</w:t>
            </w:r>
          </w:p>
        </w:tc>
        <w:tc>
          <w:tcPr>
            <w:tcW w:w="1559" w:type="dxa"/>
            <w:vAlign w:val="bottom"/>
          </w:tcPr>
          <w:p w:rsidR="00A8311A" w:rsidRPr="00A8311A" w:rsidRDefault="00A8311A" w:rsidP="00A8311A">
            <w:pPr>
              <w:jc w:val="right"/>
              <w:rPr>
                <w:rFonts w:cs="Arial"/>
                <w:b/>
                <w:bCs/>
                <w:i/>
                <w:iCs/>
                <w:sz w:val="24"/>
                <w:szCs w:val="24"/>
              </w:rPr>
            </w:pPr>
            <w:r w:rsidRPr="00A8311A">
              <w:rPr>
                <w:rFonts w:cs="Arial"/>
                <w:b/>
                <w:bCs/>
                <w:i/>
                <w:iCs/>
                <w:sz w:val="24"/>
                <w:szCs w:val="24"/>
              </w:rPr>
              <w:t>1.891,0</w:t>
            </w: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ΙΣΟΖΥΓΙΟ ΧΡΗΜ/ΚΩΝ ΣΥΝ/ΓΩΝ  ( ΙII.Α+III.Β+ΙII.Γ+III.Δ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-25.943,4</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634,1</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3.143,5</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ΑΜΕΣΕΣ ΕΠΕΝΔΥΣΕΙΣ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-274,5</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-577,4</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602,9</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xml:space="preserve">   Απαιτήσεις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1.741,7</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685,0</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345,4</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xml:space="preserve">   Υποχρεώσεις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2.016,3</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1.262,5</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-257,6</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ΕΠΕΝΔΥΣΕΙΣ ΧΑΡΤΟΦΥΛΑΚΙΟΥ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-22.663,8</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6.978,0</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8.348,3</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xml:space="preserve">   Απαιτήσεις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8.973,0</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8.910,1</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6.996,0</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xml:space="preserve">   Υποχρεώσεις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31.636,8</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1.932,1</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-1.352,4</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ΛΟΙΠΕΣ  ΕΠΕΝΔΥΣΕΙΣ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-3.843,1</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-6.222,5</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-6.162,2</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xml:space="preserve">   Απαιτήσεις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20.478,7</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-6.888,7</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16.699,8</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xml:space="preserve">   Υποχρεώσεις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24.321,8</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-666,2</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22.861,9</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xml:space="preserve">        (Δάνεια γενικής κυβέρνησης)</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2.865,0</w:t>
            </w:r>
          </w:p>
        </w:tc>
        <w:tc>
          <w:tcPr>
            <w:tcW w:w="1701" w:type="dxa"/>
            <w:vAlign w:val="bottom"/>
          </w:tcPr>
          <w:p w:rsidR="00A8311A" w:rsidRPr="00A8311A" w:rsidRDefault="00A8311A" w:rsidP="00A8311A">
            <w:pPr>
              <w:jc w:val="right"/>
              <w:rPr>
                <w:rFonts w:cs="Arial"/>
                <w:sz w:val="24"/>
                <w:szCs w:val="24"/>
              </w:rPr>
            </w:pPr>
            <w:r w:rsidRPr="00A8311A">
              <w:rPr>
                <w:rFonts w:cs="Arial"/>
                <w:sz w:val="24"/>
                <w:szCs w:val="24"/>
              </w:rPr>
              <w:t>4.000,2</w:t>
            </w:r>
          </w:p>
        </w:tc>
        <w:tc>
          <w:tcPr>
            <w:tcW w:w="1559" w:type="dxa"/>
            <w:vAlign w:val="bottom"/>
          </w:tcPr>
          <w:p w:rsidR="00A8311A" w:rsidRPr="00A8311A" w:rsidRDefault="00A8311A" w:rsidP="00A8311A">
            <w:pPr>
              <w:jc w:val="right"/>
              <w:rPr>
                <w:rFonts w:cs="Arial"/>
                <w:sz w:val="24"/>
                <w:szCs w:val="24"/>
              </w:rPr>
            </w:pPr>
            <w:r w:rsidRPr="00A8311A">
              <w:rPr>
                <w:rFonts w:cs="Arial"/>
                <w:sz w:val="24"/>
                <w:szCs w:val="24"/>
              </w:rPr>
              <w:t>11.921,6</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ΜΕΤΑΒΟΛΗ ΣΥΝΑΛΛΑΓΜΑΤΙΚΩΝ ΔΙΑΘΕΣΙΜΩΝ * *</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838,0</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456,0</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354,4</w:t>
            </w: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sz w:val="24"/>
                <w:szCs w:val="24"/>
                <w:lang w:eastAsia="el-GR"/>
              </w:rPr>
            </w:pPr>
            <w:r w:rsidRPr="00A8311A">
              <w:rPr>
                <w:rFonts w:eastAsia="Times New Roman" w:cs="Arial"/>
                <w:sz w:val="24"/>
                <w:szCs w:val="24"/>
                <w:lang w:eastAsia="el-GR"/>
              </w:rPr>
              <w:lastRenderedPageBreak/>
              <w:t> </w:t>
            </w:r>
          </w:p>
        </w:tc>
        <w:tc>
          <w:tcPr>
            <w:tcW w:w="1701" w:type="dxa"/>
            <w:vAlign w:val="bottom"/>
          </w:tcPr>
          <w:p w:rsidR="00A8311A" w:rsidRPr="00A8311A" w:rsidRDefault="00A8311A" w:rsidP="00A8311A">
            <w:pPr>
              <w:rPr>
                <w:rFonts w:cs="Arial"/>
                <w:sz w:val="24"/>
                <w:szCs w:val="24"/>
              </w:rPr>
            </w:pPr>
            <w:r w:rsidRPr="00A8311A">
              <w:rPr>
                <w:rFonts w:cs="Arial"/>
                <w:sz w:val="24"/>
                <w:szCs w:val="24"/>
              </w:rPr>
              <w:t> </w:t>
            </w: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70"/>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ΤΑΚΤΟΠΟΙΗΤΕΑ ΣΤΟΙΧΕΙΑ ( Ι + ΙΙ - III + IV=0)</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1.413,5</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1.890,9</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1.252,5</w:t>
            </w:r>
          </w:p>
        </w:tc>
      </w:tr>
      <w:tr w:rsidR="00A8311A" w:rsidRPr="00A8311A" w:rsidTr="000A2BDF">
        <w:trPr>
          <w:trHeight w:val="255"/>
        </w:trPr>
        <w:tc>
          <w:tcPr>
            <w:tcW w:w="4268" w:type="dxa"/>
            <w:shd w:val="clear" w:color="auto" w:fill="auto"/>
            <w:noWrap/>
            <w:vAlign w:val="bottom"/>
            <w:hideMark/>
          </w:tcPr>
          <w:p w:rsidR="00A8311A" w:rsidRPr="00A8311A" w:rsidRDefault="00A8311A" w:rsidP="00A8311A">
            <w:pPr>
              <w:spacing w:after="0" w:line="240" w:lineRule="auto"/>
              <w:rPr>
                <w:rFonts w:eastAsia="Times New Roman" w:cs="Arial"/>
                <w:b/>
                <w:bCs/>
                <w:sz w:val="24"/>
                <w:szCs w:val="24"/>
                <w:lang w:eastAsia="el-GR"/>
              </w:rPr>
            </w:pPr>
          </w:p>
        </w:tc>
        <w:tc>
          <w:tcPr>
            <w:tcW w:w="1701" w:type="dxa"/>
            <w:vAlign w:val="bottom"/>
          </w:tcPr>
          <w:p w:rsidR="00A8311A" w:rsidRPr="00A8311A" w:rsidRDefault="00A8311A" w:rsidP="00A8311A">
            <w:pPr>
              <w:rPr>
                <w:rFonts w:cs="Arial"/>
                <w:sz w:val="24"/>
                <w:szCs w:val="24"/>
              </w:rPr>
            </w:pPr>
          </w:p>
        </w:tc>
        <w:tc>
          <w:tcPr>
            <w:tcW w:w="1701" w:type="dxa"/>
            <w:vAlign w:val="bottom"/>
          </w:tcPr>
          <w:p w:rsidR="00A8311A" w:rsidRPr="00A8311A" w:rsidRDefault="00A8311A" w:rsidP="00A8311A">
            <w:pPr>
              <w:rPr>
                <w:rFonts w:cs="Arial"/>
                <w:sz w:val="24"/>
                <w:szCs w:val="24"/>
              </w:rPr>
            </w:pPr>
          </w:p>
        </w:tc>
        <w:tc>
          <w:tcPr>
            <w:tcW w:w="1559" w:type="dxa"/>
            <w:vAlign w:val="bottom"/>
          </w:tcPr>
          <w:p w:rsidR="00A8311A" w:rsidRPr="00A8311A" w:rsidRDefault="00A8311A" w:rsidP="00A8311A">
            <w:pPr>
              <w:rPr>
                <w:rFonts w:cs="Arial"/>
                <w:sz w:val="24"/>
                <w:szCs w:val="24"/>
              </w:rPr>
            </w:pPr>
          </w:p>
        </w:tc>
      </w:tr>
      <w:tr w:rsidR="00A8311A" w:rsidRPr="00A8311A" w:rsidTr="000A2BDF">
        <w:trPr>
          <w:trHeight w:val="255"/>
        </w:trPr>
        <w:tc>
          <w:tcPr>
            <w:tcW w:w="4268" w:type="dxa"/>
            <w:shd w:val="clear" w:color="auto" w:fill="auto"/>
            <w:noWrap/>
            <w:vAlign w:val="bottom"/>
          </w:tcPr>
          <w:p w:rsidR="00A8311A" w:rsidRPr="00A8311A" w:rsidRDefault="00A8311A" w:rsidP="00A8311A">
            <w:pPr>
              <w:spacing w:after="0" w:line="240" w:lineRule="auto"/>
              <w:rPr>
                <w:rFonts w:eastAsia="Times New Roman" w:cs="Arial"/>
                <w:b/>
                <w:bCs/>
                <w:sz w:val="24"/>
                <w:szCs w:val="24"/>
                <w:lang w:eastAsia="el-GR"/>
              </w:rPr>
            </w:pPr>
            <w:r w:rsidRPr="00A8311A">
              <w:rPr>
                <w:rFonts w:eastAsia="Times New Roman" w:cs="Arial"/>
                <w:b/>
                <w:bCs/>
                <w:sz w:val="24"/>
                <w:szCs w:val="24"/>
                <w:lang w:eastAsia="el-GR"/>
              </w:rPr>
              <w:t>ΥΨΟΣ ΣΥΝΑΛΛΑΓΜΑΤΙΚΩΝ ΔΙΑΘΕΣΙΜΩΝ</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3.857</w:t>
            </w:r>
          </w:p>
        </w:tc>
        <w:tc>
          <w:tcPr>
            <w:tcW w:w="1701" w:type="dxa"/>
            <w:vAlign w:val="bottom"/>
          </w:tcPr>
          <w:p w:rsidR="00A8311A" w:rsidRPr="00A8311A" w:rsidRDefault="00A8311A" w:rsidP="00A8311A">
            <w:pPr>
              <w:jc w:val="right"/>
              <w:rPr>
                <w:rFonts w:cs="Arial"/>
                <w:b/>
                <w:bCs/>
                <w:sz w:val="24"/>
                <w:szCs w:val="24"/>
              </w:rPr>
            </w:pPr>
            <w:r w:rsidRPr="00A8311A">
              <w:rPr>
                <w:rFonts w:cs="Arial"/>
                <w:b/>
                <w:bCs/>
                <w:sz w:val="24"/>
                <w:szCs w:val="24"/>
              </w:rPr>
              <w:t>5.117</w:t>
            </w:r>
          </w:p>
        </w:tc>
        <w:tc>
          <w:tcPr>
            <w:tcW w:w="1559" w:type="dxa"/>
            <w:vAlign w:val="bottom"/>
          </w:tcPr>
          <w:p w:rsidR="00A8311A" w:rsidRPr="00A8311A" w:rsidRDefault="00A8311A" w:rsidP="00A8311A">
            <w:pPr>
              <w:jc w:val="right"/>
              <w:rPr>
                <w:rFonts w:cs="Arial"/>
                <w:b/>
                <w:bCs/>
                <w:sz w:val="24"/>
                <w:szCs w:val="24"/>
              </w:rPr>
            </w:pPr>
            <w:r w:rsidRPr="00A8311A">
              <w:rPr>
                <w:rFonts w:cs="Arial"/>
                <w:b/>
                <w:bCs/>
                <w:sz w:val="24"/>
                <w:szCs w:val="24"/>
              </w:rPr>
              <w:t>5.535</w:t>
            </w:r>
          </w:p>
        </w:tc>
      </w:tr>
      <w:tr w:rsidR="00A8311A" w:rsidRPr="00A8311A" w:rsidTr="000A2BDF">
        <w:trPr>
          <w:trHeight w:val="255"/>
        </w:trPr>
        <w:tc>
          <w:tcPr>
            <w:tcW w:w="4268" w:type="dxa"/>
            <w:shd w:val="clear" w:color="auto" w:fill="auto"/>
            <w:noWrap/>
            <w:vAlign w:val="bottom"/>
          </w:tcPr>
          <w:p w:rsidR="00A8311A" w:rsidRPr="00A8311A" w:rsidRDefault="00A8311A" w:rsidP="00A8311A">
            <w:pPr>
              <w:spacing w:after="0" w:line="240" w:lineRule="auto"/>
              <w:rPr>
                <w:rFonts w:eastAsia="Times New Roman" w:cs="Arial"/>
                <w:b/>
                <w:bCs/>
                <w:sz w:val="24"/>
                <w:szCs w:val="24"/>
                <w:lang w:eastAsia="el-GR"/>
              </w:rPr>
            </w:pPr>
          </w:p>
        </w:tc>
        <w:tc>
          <w:tcPr>
            <w:tcW w:w="1701" w:type="dxa"/>
            <w:vAlign w:val="bottom"/>
          </w:tcPr>
          <w:p w:rsidR="00A8311A" w:rsidRPr="00A8311A" w:rsidRDefault="00A8311A" w:rsidP="00A8311A">
            <w:pPr>
              <w:jc w:val="right"/>
              <w:rPr>
                <w:rFonts w:cs="Arial"/>
                <w:b/>
                <w:bCs/>
                <w:sz w:val="24"/>
                <w:szCs w:val="24"/>
              </w:rPr>
            </w:pPr>
          </w:p>
        </w:tc>
        <w:tc>
          <w:tcPr>
            <w:tcW w:w="1701" w:type="dxa"/>
            <w:vAlign w:val="bottom"/>
          </w:tcPr>
          <w:p w:rsidR="00A8311A" w:rsidRPr="00A8311A" w:rsidRDefault="00A8311A" w:rsidP="00A8311A">
            <w:pPr>
              <w:jc w:val="right"/>
              <w:rPr>
                <w:rFonts w:cs="Arial"/>
                <w:b/>
                <w:bCs/>
                <w:sz w:val="24"/>
                <w:szCs w:val="24"/>
              </w:rPr>
            </w:pPr>
          </w:p>
        </w:tc>
        <w:tc>
          <w:tcPr>
            <w:tcW w:w="1559" w:type="dxa"/>
            <w:vAlign w:val="bottom"/>
          </w:tcPr>
          <w:p w:rsidR="00A8311A" w:rsidRPr="00A8311A" w:rsidRDefault="00A8311A" w:rsidP="00A8311A">
            <w:pPr>
              <w:jc w:val="right"/>
              <w:rPr>
                <w:rFonts w:cs="Arial"/>
                <w:b/>
                <w:bCs/>
                <w:sz w:val="24"/>
                <w:szCs w:val="24"/>
              </w:rPr>
            </w:pPr>
          </w:p>
        </w:tc>
      </w:tr>
    </w:tbl>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eastAsia="Times New Roman" w:cs="Times New Roman"/>
          <w:b/>
          <w:sz w:val="24"/>
          <w:szCs w:val="24"/>
          <w:lang w:eastAsia="el-GR"/>
        </w:rPr>
        <w:t>ΣΗΜΕΙΩΣ</w:t>
      </w:r>
      <w:r w:rsidRPr="00A8311A">
        <w:rPr>
          <w:rFonts w:eastAsia="Times New Roman" w:cs="Times New Roman"/>
          <w:sz w:val="24"/>
          <w:szCs w:val="24"/>
          <w:lang w:eastAsia="el-GR"/>
        </w:rPr>
        <w:t>Η: Από τον Ιανουάριο 2009, η κατάρτιση του ισοζυγίου αγαθών βασίζεται στα στοιχεία εξωτερικού εμπορίου της Ελληνικής Στατιστικής Αρχής (ΕΛΣΤΑΤ) στη θέση των στοιχείων διακανονισμού τραπεζικών συναλλαγών (</w:t>
      </w:r>
      <w:proofErr w:type="spellStart"/>
      <w:r w:rsidRPr="00A8311A">
        <w:rPr>
          <w:rFonts w:eastAsia="Times New Roman" w:cs="Times New Roman"/>
          <w:sz w:val="24"/>
          <w:szCs w:val="24"/>
          <w:lang w:eastAsia="el-GR"/>
        </w:rPr>
        <w:t>settlementsdata</w:t>
      </w:r>
      <w:proofErr w:type="spellEnd"/>
      <w:r w:rsidRPr="00A8311A">
        <w:rPr>
          <w:rFonts w:eastAsia="Times New Roman" w:cs="Times New Roman"/>
          <w:sz w:val="24"/>
          <w:szCs w:val="24"/>
          <w:lang w:eastAsia="el-GR"/>
        </w:rPr>
        <w:t>), που χρησιμοποιούνταν μέχρι πρότινος.</w:t>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eastAsia="Times New Roman" w:cs="Times New Roman"/>
          <w:sz w:val="24"/>
          <w:szCs w:val="24"/>
          <w:lang w:eastAsia="el-GR"/>
        </w:rPr>
        <w:t xml:space="preserve">"* ( + ) αύξηση   ( - )  μείωση </w:t>
      </w: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eastAsia="Times New Roman" w:cs="Times New Roman"/>
          <w:sz w:val="24"/>
          <w:szCs w:val="24"/>
          <w:lang w:eastAsia="el-GR"/>
        </w:rPr>
        <w:t>Σύμφωνα με τη νέα μεθοδολογία κατάρτισης του ισοζυγίου πληρωμών BPM6, η αύξηση των απαιτήσεων παρουσιάζεται με θετικό πρόσημο, ενώ η μείωση των απαιτήσεων με αρνητικό πρόσημο. Αντίστοιχα, η αύξηση των υποχρεώσεων εμφανίζεται με θετικό πρόσημο, ενώ η μείωση των υποχρεώσεων με αρνητικό πρόσημο.   "</w:t>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eastAsia="Times New Roman" w:cs="Times New Roman"/>
          <w:sz w:val="24"/>
          <w:szCs w:val="24"/>
          <w:lang w:eastAsia="el-GR"/>
        </w:rPr>
        <w:t xml:space="preserve">"** ( + ) αύξηση   ( - )  μείωση </w:t>
      </w: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eastAsia="Times New Roman" w:cs="Times New Roman"/>
          <w:sz w:val="24"/>
          <w:szCs w:val="24"/>
          <w:lang w:eastAsia="el-GR"/>
        </w:rPr>
        <w:t>Σύμφωνα με τη νέα μεθοδολογία κατάρτισης του ισοζυγίου πληρωμών BPM6, η αύξηση των συν/</w:t>
      </w:r>
      <w:proofErr w:type="spellStart"/>
      <w:r w:rsidRPr="00A8311A">
        <w:rPr>
          <w:rFonts w:eastAsia="Times New Roman" w:cs="Times New Roman"/>
          <w:sz w:val="24"/>
          <w:szCs w:val="24"/>
          <w:lang w:eastAsia="el-GR"/>
        </w:rPr>
        <w:t>κων</w:t>
      </w:r>
      <w:proofErr w:type="spellEnd"/>
      <w:r w:rsidRPr="00A8311A">
        <w:rPr>
          <w:rFonts w:eastAsia="Times New Roman" w:cs="Times New Roman"/>
          <w:sz w:val="24"/>
          <w:szCs w:val="24"/>
          <w:lang w:eastAsia="el-GR"/>
        </w:rPr>
        <w:t xml:space="preserve"> διαθεσίμων παρουσιάζεται πλέον με θετικό πρόσημο, ενώ η μείωση των συν/</w:t>
      </w:r>
      <w:proofErr w:type="spellStart"/>
      <w:r w:rsidRPr="00A8311A">
        <w:rPr>
          <w:rFonts w:eastAsia="Times New Roman" w:cs="Times New Roman"/>
          <w:sz w:val="24"/>
          <w:szCs w:val="24"/>
          <w:lang w:eastAsia="el-GR"/>
        </w:rPr>
        <w:t>κων</w:t>
      </w:r>
      <w:proofErr w:type="spellEnd"/>
      <w:r w:rsidRPr="00A8311A">
        <w:rPr>
          <w:rFonts w:eastAsia="Times New Roman" w:cs="Times New Roman"/>
          <w:sz w:val="24"/>
          <w:szCs w:val="24"/>
          <w:lang w:eastAsia="el-GR"/>
        </w:rPr>
        <w:t xml:space="preserve"> διαθεσίμων με αρνητικό πρόσημο.  "</w:t>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eastAsia="Times New Roman" w:cs="Times New Roman"/>
          <w:sz w:val="24"/>
          <w:szCs w:val="24"/>
          <w:lang w:eastAsia="el-GR"/>
        </w:rPr>
        <w:t xml:space="preserve">* * *  Τα  συναλλαγματικά διαθέσιμα, σύμφωνα με τον ορισμό  της Ευρωπαϊκής Κεντρικής  Τράπεζας,  περιλαμβάνουν μόνο το νομισματικό χρυσό, τη "συναλλαγματική θέση" στο Διεθνές Νομισματικό Ταμείο, τα "ειδικά </w:t>
      </w:r>
      <w:proofErr w:type="spellStart"/>
      <w:r w:rsidRPr="00A8311A">
        <w:rPr>
          <w:rFonts w:eastAsia="Times New Roman" w:cs="Times New Roman"/>
          <w:sz w:val="24"/>
          <w:szCs w:val="24"/>
          <w:lang w:eastAsia="el-GR"/>
        </w:rPr>
        <w:t>τραβηκτικά</w:t>
      </w:r>
      <w:proofErr w:type="spellEnd"/>
      <w:r w:rsidRPr="00A8311A">
        <w:rPr>
          <w:rFonts w:eastAsia="Times New Roman" w:cs="Times New Roman"/>
          <w:sz w:val="24"/>
          <w:szCs w:val="24"/>
          <w:lang w:eastAsia="el-GR"/>
        </w:rPr>
        <w:t xml:space="preserve"> δικαιώματα" και  τις απαιτήσεις της Τράπεζας της Ελλάδος σε ξένο νόμισμα έναντι κατοίκων χωρών εκτός της ζώνης του ευρώ. Αντίθετα, δεν περιλαμβάνουν τις απαιτήσεις σε ευρώ έναντι κατοίκων χωρών εκτός της ζώνης του ευρώ, τις απαιτήσεις σε  συνάλλαγμα και σε  ευρώ έναντι κατοίκων  χωρών της ζώνης του ευρώ, και τη συμμετοχή  της Τράπεζας της Ελλάδος στο κεφάλαιο και στα συναλλαγματικά διαθέσιμα της ΕΚΤ.</w:t>
      </w:r>
      <w:r w:rsidRPr="00A8311A">
        <w:rPr>
          <w:rFonts w:eastAsia="Times New Roman" w:cs="Times New Roman"/>
          <w:sz w:val="24"/>
          <w:szCs w:val="24"/>
          <w:lang w:eastAsia="el-GR"/>
        </w:rPr>
        <w:tab/>
      </w:r>
      <w:r w:rsidRPr="00A8311A">
        <w:rPr>
          <w:rFonts w:eastAsia="Times New Roman" w:cs="Times New Roman"/>
          <w:sz w:val="24"/>
          <w:szCs w:val="24"/>
          <w:lang w:eastAsia="el-GR"/>
        </w:rPr>
        <w:tab/>
      </w:r>
    </w:p>
    <w:p w:rsidR="00A8311A" w:rsidRPr="00A8311A" w:rsidRDefault="00A8311A" w:rsidP="00A8311A">
      <w:pPr>
        <w:spacing w:after="0" w:line="240" w:lineRule="auto"/>
        <w:jc w:val="both"/>
        <w:rPr>
          <w:rFonts w:eastAsia="Times New Roman" w:cs="Times New Roman"/>
          <w:sz w:val="24"/>
          <w:szCs w:val="24"/>
          <w:lang w:eastAsia="el-GR"/>
        </w:rPr>
      </w:pPr>
      <w:r w:rsidRPr="00A8311A">
        <w:rPr>
          <w:rFonts w:eastAsia="Times New Roman" w:cs="Times New Roman"/>
          <w:sz w:val="24"/>
          <w:szCs w:val="24"/>
          <w:lang w:eastAsia="el-GR"/>
        </w:rPr>
        <w:t>Πηγή: Τράπεζα της Ελλάδος</w:t>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r w:rsidRPr="00A8311A">
        <w:rPr>
          <w:rFonts w:eastAsia="Times New Roman" w:cs="Times New Roman"/>
          <w:sz w:val="24"/>
          <w:szCs w:val="24"/>
          <w:lang w:eastAsia="el-GR"/>
        </w:rPr>
        <w:tab/>
      </w:r>
    </w:p>
    <w:p w:rsidR="00A8311A" w:rsidRPr="00A8311A" w:rsidRDefault="00A8311A" w:rsidP="00A8311A">
      <w:pPr>
        <w:spacing w:after="0" w:line="240" w:lineRule="auto"/>
        <w:jc w:val="both"/>
        <w:rPr>
          <w:rFonts w:eastAsia="Times New Roman" w:cs="Times New Roman"/>
          <w:sz w:val="24"/>
          <w:szCs w:val="24"/>
          <w:lang w:eastAsia="el-GR"/>
        </w:rPr>
      </w:pPr>
    </w:p>
    <w:p w:rsidR="00A8311A" w:rsidRPr="00A8311A" w:rsidRDefault="00A8311A" w:rsidP="00A8311A">
      <w:pPr>
        <w:rPr>
          <w:sz w:val="24"/>
          <w:szCs w:val="24"/>
        </w:rPr>
      </w:pPr>
    </w:p>
    <w:p w:rsidR="00A8311A" w:rsidRPr="00A8311A" w:rsidRDefault="00A8311A" w:rsidP="00A8311A">
      <w:pPr>
        <w:jc w:val="center"/>
        <w:rPr>
          <w:b/>
          <w:sz w:val="36"/>
          <w:szCs w:val="36"/>
        </w:rPr>
      </w:pPr>
      <w:r w:rsidRPr="00A8311A">
        <w:rPr>
          <w:b/>
          <w:sz w:val="36"/>
          <w:szCs w:val="36"/>
        </w:rPr>
        <w:t>Τα Βασικά Μεγέθη του Ισοζυγίου Πληρωμών</w:t>
      </w:r>
    </w:p>
    <w:p w:rsidR="00A8311A" w:rsidRPr="00A8311A" w:rsidRDefault="00A8311A" w:rsidP="00A8311A">
      <w:pPr>
        <w:rPr>
          <w:b/>
          <w:sz w:val="24"/>
          <w:szCs w:val="24"/>
        </w:rPr>
      </w:pPr>
    </w:p>
    <w:p w:rsidR="00A8311A" w:rsidRPr="00A8311A" w:rsidRDefault="00A8311A" w:rsidP="00A8311A">
      <w:pPr>
        <w:jc w:val="both"/>
        <w:rPr>
          <w:sz w:val="24"/>
          <w:szCs w:val="24"/>
        </w:rPr>
      </w:pPr>
      <w:r w:rsidRPr="00A8311A">
        <w:rPr>
          <w:sz w:val="24"/>
          <w:szCs w:val="24"/>
        </w:rPr>
        <w:t xml:space="preserve">Οι βασικές κατηγορίες συναλλαγών που περιέχει το ισοζύγιο πληρωμών είναι αυτές των αγαθών, των υπηρεσιών, των πρωτογενών εισοδημάτων, των δευτερογενών </w:t>
      </w:r>
      <w:r w:rsidRPr="00A8311A">
        <w:rPr>
          <w:sz w:val="24"/>
          <w:szCs w:val="24"/>
        </w:rPr>
        <w:lastRenderedPageBreak/>
        <w:t xml:space="preserve">εισοδημάτων (πρώην τρεχουσών μεταβιβάσεων), των κεφαλαίων (πρώην μεταβιβάσεων κεφαλαίου) και των χρηματοοικονομικών συναλλαγών. </w:t>
      </w:r>
    </w:p>
    <w:p w:rsidR="00A8311A" w:rsidRPr="00A8311A" w:rsidRDefault="00A8311A" w:rsidP="00A8311A">
      <w:pPr>
        <w:jc w:val="both"/>
        <w:rPr>
          <w:sz w:val="24"/>
          <w:szCs w:val="24"/>
        </w:rPr>
      </w:pPr>
    </w:p>
    <w:p w:rsidR="00A8311A" w:rsidRPr="00A8311A" w:rsidRDefault="00A8311A" w:rsidP="00A8311A">
      <w:pPr>
        <w:jc w:val="both"/>
        <w:rPr>
          <w:sz w:val="24"/>
          <w:szCs w:val="24"/>
        </w:rPr>
      </w:pPr>
      <w:r w:rsidRPr="00A8311A">
        <w:rPr>
          <w:sz w:val="24"/>
          <w:szCs w:val="24"/>
        </w:rPr>
        <w:t xml:space="preserve">Το άθροισμα των ισοζυγίων (εισπράξεις μείον πληρωμές) των αγαθών, των υπηρεσιών, των πρωτογενών εισοδημάτων και των δευτερογενών εισοδημάτων είναι ο λογαριασμός του Ισοζυγίου Τρεχουσών Συναλλαγών, του οποίου το υπόλοιπο, εάν είναι θετικό, αντανακλά την καθαρή επένδυση της χώρας στο εξωτερικό, ενώ, εάν είναι αρνητικό, αντανακλά την καθαρή επένδυση στη χώρα από το εξωτερικό. </w:t>
      </w:r>
    </w:p>
    <w:p w:rsidR="00A8311A" w:rsidRPr="00A8311A" w:rsidRDefault="00A8311A" w:rsidP="00A8311A">
      <w:pPr>
        <w:jc w:val="both"/>
        <w:rPr>
          <w:sz w:val="24"/>
          <w:szCs w:val="24"/>
        </w:rPr>
      </w:pPr>
    </w:p>
    <w:p w:rsidR="00A8311A" w:rsidRPr="00A8311A" w:rsidRDefault="00A8311A" w:rsidP="00A8311A">
      <w:pPr>
        <w:jc w:val="both"/>
        <w:rPr>
          <w:sz w:val="24"/>
          <w:szCs w:val="24"/>
        </w:rPr>
      </w:pPr>
      <w:r w:rsidRPr="00A8311A">
        <w:rPr>
          <w:sz w:val="24"/>
          <w:szCs w:val="24"/>
        </w:rPr>
        <w:t xml:space="preserve">Το μέγεθος του υπολοίπου του Ισοζυγίου Τρεχουσών Συναλλαγών μαζί με το Ισοζύγιο Κεφαλαίων θα πρέπει να ισούται με το μέγεθος του υπολοίπου του ισοζυγίου χρηματοοικονομικών συναλλαγών. </w:t>
      </w:r>
    </w:p>
    <w:p w:rsidR="00C1158B" w:rsidRPr="00A8311A" w:rsidRDefault="00A8311A" w:rsidP="00A8311A">
      <w:pPr>
        <w:jc w:val="both"/>
        <w:rPr>
          <w:sz w:val="24"/>
          <w:szCs w:val="24"/>
        </w:rPr>
      </w:pPr>
      <w:r w:rsidRPr="00A8311A">
        <w:rPr>
          <w:sz w:val="24"/>
          <w:szCs w:val="24"/>
        </w:rPr>
        <w:t>Αυτό, όμως, στην πραγματικότητα δεν συμβαίνει διότι η καταγραφή των συναλλαγών του ισοζυγίου πληρωμών δεν είναι, αφενός, πλήρης και, αφετέρου, ακριβής και για τον λόγο αυτόν υπάρχει και ο λογαριασμός ‘</w:t>
      </w:r>
      <w:proofErr w:type="spellStart"/>
      <w:r w:rsidRPr="00A8311A">
        <w:rPr>
          <w:sz w:val="24"/>
          <w:szCs w:val="24"/>
        </w:rPr>
        <w:t>τακτοποιητέα</w:t>
      </w:r>
      <w:proofErr w:type="spellEnd"/>
      <w:r w:rsidRPr="00A8311A">
        <w:rPr>
          <w:sz w:val="24"/>
          <w:szCs w:val="24"/>
        </w:rPr>
        <w:t xml:space="preserve"> στοιχεία’ με τον οποίο πάντοτε εξισώνονται τα δύο παραπάνω ισοζύγια.</w:t>
      </w:r>
    </w:p>
    <w:p w:rsidR="00A8311A" w:rsidRPr="00A8311A" w:rsidRDefault="00A8311A" w:rsidP="00A8311A">
      <w:pPr>
        <w:rPr>
          <w:sz w:val="24"/>
          <w:szCs w:val="24"/>
        </w:rPr>
      </w:pPr>
    </w:p>
    <w:p w:rsidR="00A8311A" w:rsidRPr="00A8311A" w:rsidRDefault="00A8311A" w:rsidP="00A8311A">
      <w:pPr>
        <w:rPr>
          <w:sz w:val="24"/>
          <w:szCs w:val="24"/>
        </w:rPr>
      </w:pPr>
    </w:p>
    <w:p w:rsidR="00A8311A" w:rsidRPr="00A8311A" w:rsidRDefault="00A8311A" w:rsidP="00A8311A">
      <w:pPr>
        <w:pStyle w:val="bog-title"/>
        <w:shd w:val="clear" w:color="auto" w:fill="FFFFFF"/>
        <w:jc w:val="center"/>
        <w:rPr>
          <w:rFonts w:asciiTheme="minorHAnsi" w:hAnsiTheme="minorHAnsi" w:cs="Tahoma"/>
          <w:b/>
          <w:bCs/>
          <w:color w:val="505050"/>
        </w:rPr>
      </w:pPr>
      <w:r w:rsidRPr="00A8311A">
        <w:rPr>
          <w:rFonts w:asciiTheme="minorHAnsi" w:hAnsiTheme="minorHAnsi" w:cs="Tahoma"/>
          <w:b/>
          <w:bCs/>
          <w:color w:val="505050"/>
        </w:rPr>
        <w:t>Ισοζύγιο Αγαθών</w:t>
      </w:r>
    </w:p>
    <w:p w:rsidR="00A8311A" w:rsidRPr="00A8311A" w:rsidRDefault="00A8311A" w:rsidP="00A8311A">
      <w:pPr>
        <w:pStyle w:val="Web"/>
        <w:shd w:val="clear" w:color="auto" w:fill="FFFFFF"/>
        <w:jc w:val="both"/>
        <w:rPr>
          <w:rFonts w:asciiTheme="minorHAnsi" w:hAnsiTheme="minorHAnsi"/>
          <w:color w:val="262626"/>
        </w:rPr>
      </w:pPr>
      <w:r w:rsidRPr="00A8311A">
        <w:rPr>
          <w:rStyle w:val="bog-bodytext"/>
          <w:rFonts w:asciiTheme="minorHAnsi" w:hAnsiTheme="minorHAnsi" w:cs="Tahoma"/>
          <w:color w:val="000000"/>
        </w:rPr>
        <w:t>Στο ισοζύγιο αγαθών καταγράφονται οι συναλλαγές σε αγαθά (εισαγωγές/</w:t>
      </w:r>
      <w:proofErr w:type="spellStart"/>
      <w:r w:rsidRPr="00A8311A">
        <w:rPr>
          <w:rStyle w:val="bog-bodytext"/>
          <w:rFonts w:asciiTheme="minorHAnsi" w:hAnsiTheme="minorHAnsi" w:cs="Tahoma"/>
          <w:color w:val="000000"/>
        </w:rPr>
        <w:t>εξαγωγέ</w:t>
      </w:r>
      <w:proofErr w:type="spellEnd"/>
      <w:r w:rsidRPr="00A8311A">
        <w:rPr>
          <w:rStyle w:val="bog-bodytext"/>
          <w:rFonts w:asciiTheme="minorHAnsi" w:hAnsiTheme="minorHAnsi" w:cs="Tahoma"/>
          <w:color w:val="000000"/>
        </w:rPr>
        <w:t xml:space="preserve">ς), των οποίων η κυριότητα αλλάζει μεταξύ ενός κατοίκου και μη κατοίκου. Επιπλέον, στο ισοζύγιο αγαθών καταχωρίζονται οι τριγωνικές συναλλαγές και η αξία των αγαθών για τον εφοδιασμό πλοίων και αεροπλάνων. Σύμφωνα με τη νέα μεθοδολογία της 6ης έκδοσης του εγχειριδίου του ΔΝΤ για το Ισοζύγιο Πληρωμών, οι αξίες της επεξεργασίας και της επισκευής αγαθών </w:t>
      </w:r>
      <w:proofErr w:type="spellStart"/>
      <w:r w:rsidRPr="00A8311A">
        <w:rPr>
          <w:rStyle w:val="bog-bodytext"/>
          <w:rFonts w:asciiTheme="minorHAnsi" w:hAnsiTheme="minorHAnsi" w:cs="Tahoma"/>
          <w:color w:val="000000"/>
        </w:rPr>
        <w:t>αναταξινομούνται</w:t>
      </w:r>
      <w:proofErr w:type="spellEnd"/>
      <w:r w:rsidRPr="00A8311A">
        <w:rPr>
          <w:rStyle w:val="bog-bodytext"/>
          <w:rFonts w:asciiTheme="minorHAnsi" w:hAnsiTheme="minorHAnsi" w:cs="Tahoma"/>
          <w:color w:val="000000"/>
        </w:rPr>
        <w:t xml:space="preserve"> από τα αγαθά στις υπηρεσίες.</w:t>
      </w:r>
      <w:r w:rsidRPr="00A8311A">
        <w:rPr>
          <w:rStyle w:val="apple-converted-space"/>
          <w:rFonts w:asciiTheme="minorHAnsi" w:hAnsiTheme="minorHAnsi" w:cs="Tahoma"/>
          <w:color w:val="000000"/>
        </w:rPr>
        <w:t> </w:t>
      </w:r>
      <w:r w:rsidRPr="00A8311A">
        <w:rPr>
          <w:rFonts w:asciiTheme="minorHAnsi" w:hAnsiTheme="minorHAnsi" w:cs="Tahoma"/>
          <w:color w:val="000000"/>
        </w:rPr>
        <w:br/>
      </w:r>
      <w:r w:rsidRPr="00A8311A">
        <w:rPr>
          <w:rFonts w:asciiTheme="minorHAnsi" w:hAnsiTheme="minorHAnsi" w:cs="Tahoma"/>
          <w:color w:val="000000"/>
        </w:rPr>
        <w:br/>
      </w:r>
      <w:r w:rsidRPr="00A8311A">
        <w:rPr>
          <w:rStyle w:val="bog-bodytext"/>
          <w:rFonts w:asciiTheme="minorHAnsi" w:hAnsiTheme="minorHAnsi" w:cs="Tahoma"/>
          <w:color w:val="000000"/>
        </w:rPr>
        <w:t>Από το μήνα αναφοράς Ιούλιο 2015, η Τράπεζα της Ελλάδος προχωρά σε μια σημαντική αλλαγή της μεθοδολογίας κατάρτισης του Ισοζυγίου Πληρωμών, με τη χρήση των στατιστικών εξωτερικού εμπορίου της ΕΛΣΤΑΤ στη θέση των στοιχείων διακανονισμού τραπεζικών συναλλαγών (</w:t>
      </w:r>
      <w:proofErr w:type="spellStart"/>
      <w:r w:rsidRPr="00A8311A">
        <w:rPr>
          <w:rStyle w:val="bog-bodytext"/>
          <w:rFonts w:asciiTheme="minorHAnsi" w:hAnsiTheme="minorHAnsi" w:cs="Tahoma"/>
          <w:color w:val="000000"/>
        </w:rPr>
        <w:t>settlementsdata</w:t>
      </w:r>
      <w:proofErr w:type="spellEnd"/>
      <w:r w:rsidRPr="00A8311A">
        <w:rPr>
          <w:rStyle w:val="bog-bodytext"/>
          <w:rFonts w:asciiTheme="minorHAnsi" w:hAnsiTheme="minorHAnsi" w:cs="Tahoma"/>
          <w:color w:val="000000"/>
        </w:rPr>
        <w:t>), που χρησιμοποιούνταν έως και τον Ιούνιο του 2015. Με τη νέα μεθοδολογία, τα στοιχεία του ισοζυγίου αγαθών θα αντικατοπτρίζουν τελωνειακά ή άλλα διοικητικά στοιχεία, όπως αυτά συλλέγονται ή εκτιμώνται από την ΕΛΣΤΑΤ. Η υιοθέτηση της νέας πηγής στοιχείων θα εφαρμοστεί αναδρομικά από τον Ιανουάριο του 2013, περίοδο για την οποία θα είναι διαθέσιμα ιστορικά στοιχεία.</w:t>
      </w:r>
      <w:r w:rsidRPr="00A8311A">
        <w:rPr>
          <w:rFonts w:asciiTheme="minorHAnsi" w:hAnsiTheme="minorHAnsi" w:cs="Tahoma"/>
          <w:color w:val="000000"/>
        </w:rPr>
        <w:br/>
      </w:r>
      <w:r w:rsidRPr="00A8311A">
        <w:rPr>
          <w:rFonts w:asciiTheme="minorHAnsi" w:hAnsiTheme="minorHAnsi" w:cs="Tahoma"/>
          <w:color w:val="000000"/>
        </w:rPr>
        <w:br/>
      </w:r>
      <w:r w:rsidRPr="00A8311A">
        <w:rPr>
          <w:rStyle w:val="bog-bodytext"/>
          <w:rFonts w:asciiTheme="minorHAnsi" w:hAnsiTheme="minorHAnsi" w:cs="Tahoma"/>
          <w:color w:val="000000"/>
        </w:rPr>
        <w:lastRenderedPageBreak/>
        <w:t>Οι στατιστικές εξωτερικού εμπορίου της ΕΛΣΤΑΤ περιλαμβάνουν: πρώτον, τις στατιστικές εισαγωγών και εξαγωγών από και προς τρίτες χώρες εκτός ΕΕ (</w:t>
      </w:r>
      <w:proofErr w:type="spellStart"/>
      <w:r w:rsidRPr="00A8311A">
        <w:rPr>
          <w:rStyle w:val="bog-bodytext"/>
          <w:rFonts w:asciiTheme="minorHAnsi" w:hAnsiTheme="minorHAnsi" w:cs="Tahoma"/>
          <w:color w:val="000000"/>
        </w:rPr>
        <w:t>Extrastat</w:t>
      </w:r>
      <w:proofErr w:type="spellEnd"/>
      <w:r w:rsidRPr="00A8311A">
        <w:rPr>
          <w:rStyle w:val="bog-bodytext"/>
          <w:rFonts w:asciiTheme="minorHAnsi" w:hAnsiTheme="minorHAnsi" w:cs="Tahoma"/>
          <w:color w:val="000000"/>
        </w:rPr>
        <w:t>), οι οποίες συγκεντρώνονται από τα τελωνεία μέσω του Ενιαίου Διοικητικού Εντύπου και δεύτερον, τις στατιστικές ενδοκοινοτικού εμπορίου (</w:t>
      </w:r>
      <w:proofErr w:type="spellStart"/>
      <w:r w:rsidRPr="00A8311A">
        <w:rPr>
          <w:rStyle w:val="bog-bodytext"/>
          <w:rFonts w:asciiTheme="minorHAnsi" w:hAnsiTheme="minorHAnsi" w:cs="Tahoma"/>
          <w:color w:val="000000"/>
        </w:rPr>
        <w:t>Intrastat</w:t>
      </w:r>
      <w:proofErr w:type="spellEnd"/>
      <w:r w:rsidRPr="00A8311A">
        <w:rPr>
          <w:rStyle w:val="bog-bodytext"/>
          <w:rFonts w:asciiTheme="minorHAnsi" w:hAnsiTheme="minorHAnsi" w:cs="Tahoma"/>
          <w:color w:val="000000"/>
        </w:rPr>
        <w:t xml:space="preserve">), οι οποίες συγκεντρώνονται μέσω του ειδικού εντύπου που αποστέλλουν οι επιχειρήσεις (δήλωση </w:t>
      </w:r>
      <w:proofErr w:type="spellStart"/>
      <w:r w:rsidRPr="00A8311A">
        <w:rPr>
          <w:rStyle w:val="bog-bodytext"/>
          <w:rFonts w:asciiTheme="minorHAnsi" w:hAnsiTheme="minorHAnsi" w:cs="Tahoma"/>
          <w:color w:val="000000"/>
        </w:rPr>
        <w:t>Intrastat</w:t>
      </w:r>
      <w:proofErr w:type="spellEnd"/>
      <w:r w:rsidRPr="00A8311A">
        <w:rPr>
          <w:rStyle w:val="bog-bodytext"/>
          <w:rFonts w:asciiTheme="minorHAnsi" w:hAnsiTheme="minorHAnsi" w:cs="Tahoma"/>
          <w:color w:val="000000"/>
        </w:rPr>
        <w:t>).</w:t>
      </w:r>
      <w:r w:rsidRPr="00A8311A">
        <w:rPr>
          <w:rStyle w:val="apple-converted-space"/>
          <w:rFonts w:asciiTheme="minorHAnsi" w:hAnsiTheme="minorHAnsi" w:cs="Tahoma"/>
          <w:color w:val="000000"/>
        </w:rPr>
        <w:t> </w:t>
      </w:r>
      <w:r w:rsidRPr="00A8311A">
        <w:rPr>
          <w:rFonts w:asciiTheme="minorHAnsi" w:hAnsiTheme="minorHAnsi" w:cs="Tahoma"/>
          <w:color w:val="000000"/>
        </w:rPr>
        <w:br/>
      </w:r>
      <w:r w:rsidRPr="00A8311A">
        <w:rPr>
          <w:rFonts w:asciiTheme="minorHAnsi" w:hAnsiTheme="minorHAnsi" w:cs="Tahoma"/>
          <w:color w:val="000000"/>
        </w:rPr>
        <w:br/>
      </w:r>
      <w:r w:rsidRPr="00A8311A">
        <w:rPr>
          <w:rStyle w:val="bog-bodytext"/>
          <w:rFonts w:asciiTheme="minorHAnsi" w:hAnsiTheme="minorHAnsi" w:cs="Tahoma"/>
          <w:color w:val="000000"/>
        </w:rPr>
        <w:t>Η αξία των εξαγωγών, στις στατιστικές εξωτερικού εμπορίου της ΕΛΣΤΑΤ, αναγγέλλεται σε όρους FOB (</w:t>
      </w:r>
      <w:proofErr w:type="spellStart"/>
      <w:r w:rsidRPr="00A8311A">
        <w:rPr>
          <w:rStyle w:val="bog-bodytext"/>
          <w:rFonts w:asciiTheme="minorHAnsi" w:hAnsiTheme="minorHAnsi" w:cs="Tahoma"/>
          <w:color w:val="000000"/>
        </w:rPr>
        <w:t>FreeonΒoard</w:t>
      </w:r>
      <w:proofErr w:type="spellEnd"/>
      <w:r w:rsidRPr="00A8311A">
        <w:rPr>
          <w:rStyle w:val="bog-bodytext"/>
          <w:rFonts w:asciiTheme="minorHAnsi" w:hAnsiTheme="minorHAnsi" w:cs="Tahoma"/>
          <w:color w:val="000000"/>
        </w:rPr>
        <w:t>), ενώ η αξία των εισαγωγών σε όρους CIF (</w:t>
      </w:r>
      <w:proofErr w:type="spellStart"/>
      <w:r w:rsidRPr="00A8311A">
        <w:rPr>
          <w:rStyle w:val="bog-bodytext"/>
          <w:rFonts w:asciiTheme="minorHAnsi" w:hAnsiTheme="minorHAnsi" w:cs="Tahoma"/>
          <w:color w:val="000000"/>
        </w:rPr>
        <w:t>Cost</w:t>
      </w:r>
      <w:proofErr w:type="spellEnd"/>
      <w:r w:rsidRPr="00A8311A">
        <w:rPr>
          <w:rStyle w:val="bog-bodytext"/>
          <w:rFonts w:asciiTheme="minorHAnsi" w:hAnsiTheme="minorHAnsi" w:cs="Tahoma"/>
          <w:color w:val="000000"/>
        </w:rPr>
        <w:t xml:space="preserve">, </w:t>
      </w:r>
      <w:proofErr w:type="spellStart"/>
      <w:r w:rsidRPr="00A8311A">
        <w:rPr>
          <w:rStyle w:val="bog-bodytext"/>
          <w:rFonts w:asciiTheme="minorHAnsi" w:hAnsiTheme="minorHAnsi" w:cs="Tahoma"/>
          <w:color w:val="000000"/>
        </w:rPr>
        <w:t>Ιnsurance</w:t>
      </w:r>
      <w:proofErr w:type="spellEnd"/>
      <w:r w:rsidRPr="00A8311A">
        <w:rPr>
          <w:rStyle w:val="bog-bodytext"/>
          <w:rFonts w:asciiTheme="minorHAnsi" w:hAnsiTheme="minorHAnsi" w:cs="Tahoma"/>
          <w:color w:val="000000"/>
        </w:rPr>
        <w:t xml:space="preserve">, </w:t>
      </w:r>
      <w:proofErr w:type="spellStart"/>
      <w:r w:rsidRPr="00A8311A">
        <w:rPr>
          <w:rStyle w:val="bog-bodytext"/>
          <w:rFonts w:asciiTheme="minorHAnsi" w:hAnsiTheme="minorHAnsi" w:cs="Tahoma"/>
          <w:color w:val="000000"/>
        </w:rPr>
        <w:t>Freight</w:t>
      </w:r>
      <w:proofErr w:type="spellEnd"/>
      <w:r w:rsidRPr="00A8311A">
        <w:rPr>
          <w:rStyle w:val="bog-bodytext"/>
          <w:rFonts w:asciiTheme="minorHAnsi" w:hAnsiTheme="minorHAnsi" w:cs="Tahoma"/>
          <w:color w:val="000000"/>
        </w:rPr>
        <w:t>). Δεδομένου ότι η αναγγελία τόσο των εξαγωγών όσο και των εισαγωγών στο ισοζύγιο πληρωμών γίνεται σε όρους FOB, η Τράπεζα της Ελλάδος μετατρέπει τις εισαγωγές σε αξία FOB, εφαρμόζοντας ένα σταθερό συντελεστή μετατροπής CIF/FOB ύψους 5% (δηλαδή FOB = CIF*(1-0.05)) και η διαφορά που προκύπτει κατανέμεται στις μεταφορικές και ασφαλιστικές υπηρεσίες κατά τα 4/5 και 1/5 αντιστοίχως.</w:t>
      </w:r>
      <w:r w:rsidRPr="00A8311A">
        <w:rPr>
          <w:rStyle w:val="apple-converted-space"/>
          <w:rFonts w:asciiTheme="minorHAnsi" w:hAnsiTheme="minorHAnsi" w:cs="Tahoma"/>
          <w:color w:val="000000"/>
        </w:rPr>
        <w:t> </w:t>
      </w:r>
      <w:r w:rsidRPr="00A8311A">
        <w:rPr>
          <w:rFonts w:asciiTheme="minorHAnsi" w:hAnsiTheme="minorHAnsi" w:cs="Tahoma"/>
          <w:color w:val="000000"/>
        </w:rPr>
        <w:br/>
      </w:r>
      <w:r w:rsidRPr="00A8311A">
        <w:rPr>
          <w:rFonts w:asciiTheme="minorHAnsi" w:hAnsiTheme="minorHAnsi" w:cs="Tahoma"/>
          <w:color w:val="000000"/>
        </w:rPr>
        <w:br/>
      </w:r>
      <w:r w:rsidRPr="00A8311A">
        <w:rPr>
          <w:rStyle w:val="bog-bodytext"/>
          <w:rFonts w:asciiTheme="minorHAnsi" w:hAnsiTheme="minorHAnsi" w:cs="Tahoma"/>
          <w:color w:val="000000"/>
        </w:rPr>
        <w:t xml:space="preserve">Επίσης, στις εισαγωγές αγαθών, κατά την κατάρτιση του ισοζυγίου αγαθών (όπως και στην κατάρτιση των Εθνικών Λογαριασμών) περιλαμβάνεται η εκτίμηση της ΕΛΣΤΑΤ για το λαθρεμπόριο αγαθών, η οποία ανέρχεται σε 1,5 </w:t>
      </w:r>
      <w:proofErr w:type="spellStart"/>
      <w:r w:rsidRPr="00A8311A">
        <w:rPr>
          <w:rStyle w:val="bog-bodytext"/>
          <w:rFonts w:asciiTheme="minorHAnsi" w:hAnsiTheme="minorHAnsi" w:cs="Tahoma"/>
          <w:color w:val="000000"/>
        </w:rPr>
        <w:t>δισεκ</w:t>
      </w:r>
      <w:proofErr w:type="spellEnd"/>
      <w:r w:rsidRPr="00A8311A">
        <w:rPr>
          <w:rStyle w:val="bog-bodytext"/>
          <w:rFonts w:asciiTheme="minorHAnsi" w:hAnsiTheme="minorHAnsi" w:cs="Tahoma"/>
          <w:color w:val="000000"/>
        </w:rPr>
        <w:t>. ευρώ ετησίως. Τέλος, επισημαίνεται ότι η καταγραφή των εισαγωγών (αγορών) και εξαγωγών (πωλήσεων) πλοίων στο ισοζύγιο αγαθών θα συνεχίσει να βασίζεται στα στοιχεία που συλλέγει η Τράπεζα της Ελλάδος.</w:t>
      </w:r>
      <w:r w:rsidRPr="00A8311A">
        <w:rPr>
          <w:rStyle w:val="apple-converted-space"/>
          <w:rFonts w:asciiTheme="minorHAnsi" w:hAnsiTheme="minorHAnsi" w:cs="Tahoma"/>
          <w:color w:val="000000"/>
        </w:rPr>
        <w:t> </w:t>
      </w:r>
    </w:p>
    <w:p w:rsidR="00A8311A" w:rsidRPr="00A8311A" w:rsidRDefault="00A8311A" w:rsidP="00A8311A">
      <w:pPr>
        <w:rPr>
          <w:sz w:val="24"/>
          <w:szCs w:val="24"/>
        </w:rPr>
      </w:pPr>
    </w:p>
    <w:p w:rsidR="00A8311A" w:rsidRPr="00A8311A" w:rsidRDefault="00A8311A" w:rsidP="00A8311A">
      <w:pPr>
        <w:shd w:val="clear" w:color="auto" w:fill="FFFFFF"/>
        <w:spacing w:before="100" w:beforeAutospacing="1" w:after="100" w:afterAutospacing="1" w:line="240" w:lineRule="auto"/>
        <w:jc w:val="center"/>
        <w:rPr>
          <w:rFonts w:eastAsia="Times New Roman" w:cs="Tahoma"/>
          <w:b/>
          <w:bCs/>
          <w:color w:val="505050"/>
          <w:sz w:val="24"/>
          <w:szCs w:val="24"/>
          <w:lang w:eastAsia="el-GR"/>
        </w:rPr>
      </w:pPr>
      <w:r w:rsidRPr="00A8311A">
        <w:rPr>
          <w:rFonts w:eastAsia="Times New Roman" w:cs="Tahoma"/>
          <w:b/>
          <w:bCs/>
          <w:color w:val="505050"/>
          <w:sz w:val="24"/>
          <w:szCs w:val="24"/>
          <w:lang w:eastAsia="el-GR"/>
        </w:rPr>
        <w:t>Ισοζύγιο Υπηρεσιών</w:t>
      </w:r>
    </w:p>
    <w:p w:rsidR="00A8311A" w:rsidRPr="00A8311A" w:rsidRDefault="00A8311A" w:rsidP="00A8311A">
      <w:pPr>
        <w:shd w:val="clear" w:color="auto" w:fill="FFFFFF"/>
        <w:spacing w:before="100" w:beforeAutospacing="1" w:after="100" w:afterAutospacing="1" w:line="240" w:lineRule="auto"/>
        <w:jc w:val="both"/>
        <w:rPr>
          <w:rFonts w:eastAsia="Times New Roman" w:cs="Tahoma"/>
          <w:color w:val="000000"/>
          <w:sz w:val="24"/>
          <w:szCs w:val="24"/>
          <w:lang w:eastAsia="el-GR"/>
        </w:rPr>
      </w:pPr>
      <w:r w:rsidRPr="00A8311A">
        <w:rPr>
          <w:rFonts w:eastAsia="Times New Roman" w:cs="Tahoma"/>
          <w:color w:val="000000"/>
          <w:sz w:val="24"/>
          <w:szCs w:val="24"/>
          <w:lang w:eastAsia="el-GR"/>
        </w:rPr>
        <w:t>Στο ισοζύγιο υπηρεσιών καταγράφονται οι χρηματικές ροές (εισπράξεις και πληρωμές ) που προκύπτουν από συναλλαγές κατοίκων Ελλάδος με μη κατοίκους, με αντικείμενο τη μεταξύ τους παροχή υπηρεσιών. Το ισοζύγιο υπηρεσιών καταγράφει όλες τις επί μέρους κατηγορίες υπηρεσιών, όπως αυτές ορίζονται στο εγχειρίδιο </w:t>
      </w:r>
      <w:proofErr w:type="spellStart"/>
      <w:r w:rsidR="00C77242" w:rsidRPr="00A8311A">
        <w:rPr>
          <w:rFonts w:eastAsia="Times New Roman" w:cs="Tahoma"/>
          <w:color w:val="000000"/>
          <w:sz w:val="24"/>
          <w:szCs w:val="24"/>
          <w:lang w:eastAsia="el-GR"/>
        </w:rPr>
        <w:fldChar w:fldCharType="begin"/>
      </w:r>
      <w:r w:rsidRPr="00A8311A">
        <w:rPr>
          <w:rFonts w:eastAsia="Times New Roman" w:cs="Tahoma"/>
          <w:color w:val="000000"/>
          <w:sz w:val="24"/>
          <w:szCs w:val="24"/>
          <w:lang w:eastAsia="el-GR"/>
        </w:rPr>
        <w:instrText xml:space="preserve"> HYPERLINK "http://www.oecd.org/std/its/manualonstatisticsofinternationaltradeinservices.htm" \t "_blank" </w:instrText>
      </w:r>
      <w:r w:rsidR="00C77242" w:rsidRPr="00A8311A">
        <w:rPr>
          <w:rFonts w:eastAsia="Times New Roman" w:cs="Tahoma"/>
          <w:color w:val="000000"/>
          <w:sz w:val="24"/>
          <w:szCs w:val="24"/>
          <w:lang w:eastAsia="el-GR"/>
        </w:rPr>
        <w:fldChar w:fldCharType="separate"/>
      </w:r>
      <w:r w:rsidRPr="00A8311A">
        <w:rPr>
          <w:rFonts w:eastAsia="Times New Roman" w:cs="Tahoma"/>
          <w:color w:val="0000FF"/>
          <w:sz w:val="24"/>
          <w:szCs w:val="24"/>
          <w:u w:val="single"/>
          <w:lang w:eastAsia="el-GR"/>
        </w:rPr>
        <w:t>Manualonstatisticsofinternationaltradeinservices</w:t>
      </w:r>
      <w:proofErr w:type="spellEnd"/>
      <w:r w:rsidRPr="00A8311A">
        <w:rPr>
          <w:rFonts w:eastAsia="Times New Roman" w:cs="Tahoma"/>
          <w:color w:val="0000FF"/>
          <w:sz w:val="24"/>
          <w:szCs w:val="24"/>
          <w:u w:val="single"/>
          <w:lang w:eastAsia="el-GR"/>
        </w:rPr>
        <w:t>, 2010</w:t>
      </w:r>
      <w:r w:rsidR="00C77242" w:rsidRPr="00A8311A">
        <w:rPr>
          <w:rFonts w:eastAsia="Times New Roman" w:cs="Tahoma"/>
          <w:color w:val="000000"/>
          <w:sz w:val="24"/>
          <w:szCs w:val="24"/>
          <w:lang w:eastAsia="el-GR"/>
        </w:rPr>
        <w:fldChar w:fldCharType="end"/>
      </w:r>
      <w:r w:rsidRPr="00A8311A">
        <w:rPr>
          <w:rFonts w:eastAsia="Times New Roman" w:cs="Tahoma"/>
          <w:color w:val="000000"/>
          <w:sz w:val="24"/>
          <w:szCs w:val="24"/>
          <w:lang w:eastAsia="el-GR"/>
        </w:rPr>
        <w:t xml:space="preserve">, </w:t>
      </w:r>
      <w:proofErr w:type="spellStart"/>
      <w:r w:rsidRPr="00A8311A">
        <w:rPr>
          <w:rFonts w:eastAsia="Times New Roman" w:cs="Tahoma"/>
          <w:color w:val="000000"/>
          <w:sz w:val="24"/>
          <w:szCs w:val="24"/>
          <w:lang w:eastAsia="el-GR"/>
        </w:rPr>
        <w:t>του</w:t>
      </w:r>
      <w:hyperlink r:id="rId5" w:tgtFrame="_blank" w:history="1">
        <w:r w:rsidRPr="00A8311A">
          <w:rPr>
            <w:rFonts w:eastAsia="Times New Roman" w:cs="Tahoma"/>
            <w:color w:val="0000FF"/>
            <w:sz w:val="24"/>
            <w:szCs w:val="24"/>
            <w:u w:val="single"/>
            <w:lang w:eastAsia="el-GR"/>
          </w:rPr>
          <w:t>Οργανισμού</w:t>
        </w:r>
        <w:proofErr w:type="spellEnd"/>
        <w:r w:rsidRPr="00A8311A">
          <w:rPr>
            <w:rFonts w:eastAsia="Times New Roman" w:cs="Tahoma"/>
            <w:color w:val="0000FF"/>
            <w:sz w:val="24"/>
            <w:szCs w:val="24"/>
            <w:u w:val="single"/>
            <w:lang w:eastAsia="el-GR"/>
          </w:rPr>
          <w:t xml:space="preserve"> Οικονομικής Συνεργασίας και Ανάπτυξης</w:t>
        </w:r>
      </w:hyperlink>
      <w:r w:rsidRPr="00A8311A">
        <w:rPr>
          <w:rFonts w:eastAsia="Times New Roman" w:cs="Tahoma"/>
          <w:color w:val="000000"/>
          <w:sz w:val="24"/>
          <w:szCs w:val="24"/>
          <w:lang w:eastAsia="el-GR"/>
        </w:rPr>
        <w:t>.</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Οι στατιστικές πληροφορίες για όλες κατηγορίες υπηρεσιών, εκτός από τις ταξιδιωτικές υπηρεσίες, αναγγέλλονται στην Τράπεζα της Ελλάδος από τα εγχώρια πιστωτικά ιδρύματα που μεσολαβούν στον διακανονισμό αυτών των συναλλαγών. </w:t>
      </w:r>
    </w:p>
    <w:p w:rsidR="00A8311A" w:rsidRPr="00A8311A" w:rsidRDefault="00A8311A" w:rsidP="00A8311A">
      <w:pPr>
        <w:rPr>
          <w:sz w:val="24"/>
          <w:szCs w:val="24"/>
        </w:rPr>
      </w:pPr>
      <w:r w:rsidRPr="00A8311A">
        <w:rPr>
          <w:sz w:val="24"/>
          <w:szCs w:val="24"/>
        </w:rPr>
        <w:t>Ταξιδιωτικές Υπηρεσίες</w:t>
      </w:r>
    </w:p>
    <w:p w:rsidR="00A8311A" w:rsidRPr="00A8311A" w:rsidRDefault="00A8311A" w:rsidP="00A8311A">
      <w:pPr>
        <w:rPr>
          <w:sz w:val="24"/>
          <w:szCs w:val="24"/>
        </w:rPr>
      </w:pPr>
    </w:p>
    <w:p w:rsidR="00A8311A" w:rsidRPr="00A8311A" w:rsidRDefault="00A8311A" w:rsidP="00A8311A">
      <w:pPr>
        <w:rPr>
          <w:sz w:val="24"/>
          <w:szCs w:val="24"/>
        </w:rPr>
      </w:pPr>
      <w:r w:rsidRPr="00A8311A">
        <w:rPr>
          <w:sz w:val="24"/>
          <w:szCs w:val="24"/>
        </w:rPr>
        <w:t>Από την είσοδο της Ελλάδος στη ζώνη του ευρώ το 2002, η Τράπεζα της Ελλάδος διενεργεί μηνιαία δειγματοληπτική έρευνα στα κυριότερα σημεία εισόδου-εξόδου της χώρας, «Έρευνα Συνόρων», για τη συλλογή των αναγκαίων πληροφοριών για την εκτίμηση των ταξιδιωτικών δαπανών.</w:t>
      </w:r>
    </w:p>
    <w:p w:rsidR="00A8311A" w:rsidRPr="00A8311A" w:rsidRDefault="00A8311A" w:rsidP="00A8311A">
      <w:pPr>
        <w:rPr>
          <w:sz w:val="24"/>
          <w:szCs w:val="24"/>
        </w:rPr>
      </w:pPr>
    </w:p>
    <w:p w:rsidR="00A8311A" w:rsidRPr="00A8311A" w:rsidRDefault="00A8311A" w:rsidP="00A8311A">
      <w:pPr>
        <w:rPr>
          <w:sz w:val="24"/>
          <w:szCs w:val="24"/>
        </w:rPr>
      </w:pPr>
      <w:r w:rsidRPr="00A8311A">
        <w:rPr>
          <w:sz w:val="24"/>
          <w:szCs w:val="24"/>
        </w:rPr>
        <w:t>Η Έρευνα Συνόρων αποτελείται ουσιαστικά από δύο ανεξάρτητες έρευνες:</w:t>
      </w:r>
    </w:p>
    <w:p w:rsidR="00A8311A" w:rsidRPr="00A8311A" w:rsidRDefault="00A8311A" w:rsidP="00A8311A">
      <w:pPr>
        <w:rPr>
          <w:sz w:val="24"/>
          <w:szCs w:val="24"/>
        </w:rPr>
      </w:pPr>
    </w:p>
    <w:p w:rsidR="00A8311A" w:rsidRPr="00A8311A" w:rsidRDefault="00A8311A" w:rsidP="00A8311A">
      <w:pPr>
        <w:rPr>
          <w:sz w:val="24"/>
          <w:szCs w:val="24"/>
        </w:rPr>
      </w:pPr>
      <w:r w:rsidRPr="00A8311A">
        <w:rPr>
          <w:sz w:val="24"/>
          <w:szCs w:val="24"/>
        </w:rPr>
        <w:t>Την Έρευνα Εισπράξεων, η οποία αποσκοπεί στην εκτίμηση της δαπάνης των ταξιδιωτών με κατοικία στο εξωτερικό που επισκέπτονται την Ελλάδα και την Έρευνα Πληρωμών, η οποία αποσκοπεί στην εκτίμηση της δαπάνης των ταξιδιωτών με κατοικία την Ελλάδα που επισκέπτονται το εξωτερικό.</w:t>
      </w:r>
    </w:p>
    <w:p w:rsidR="00A8311A" w:rsidRPr="00A8311A" w:rsidRDefault="00A8311A" w:rsidP="00A8311A">
      <w:pPr>
        <w:rPr>
          <w:sz w:val="24"/>
          <w:szCs w:val="24"/>
        </w:rPr>
      </w:pPr>
    </w:p>
    <w:p w:rsidR="00A8311A" w:rsidRPr="00A8311A" w:rsidRDefault="00A8311A" w:rsidP="00A8311A">
      <w:pPr>
        <w:shd w:val="clear" w:color="auto" w:fill="FFFFFF"/>
        <w:spacing w:before="100" w:beforeAutospacing="1" w:after="100" w:afterAutospacing="1" w:line="240" w:lineRule="auto"/>
        <w:jc w:val="center"/>
        <w:rPr>
          <w:rFonts w:eastAsia="Times New Roman" w:cs="Tahoma"/>
          <w:b/>
          <w:bCs/>
          <w:color w:val="505050"/>
          <w:sz w:val="24"/>
          <w:szCs w:val="24"/>
          <w:lang w:eastAsia="el-GR"/>
        </w:rPr>
      </w:pPr>
      <w:r w:rsidRPr="00A8311A">
        <w:rPr>
          <w:rFonts w:eastAsia="Times New Roman" w:cs="Tahoma"/>
          <w:b/>
          <w:bCs/>
          <w:color w:val="505050"/>
          <w:sz w:val="24"/>
          <w:szCs w:val="24"/>
          <w:lang w:eastAsia="el-GR"/>
        </w:rPr>
        <w:t>Ισοζύγιο Πρωτογενών Εισοδημάτων</w:t>
      </w:r>
    </w:p>
    <w:p w:rsidR="00A8311A" w:rsidRPr="00A8311A" w:rsidRDefault="00A8311A" w:rsidP="00A8311A">
      <w:pPr>
        <w:shd w:val="clear" w:color="auto" w:fill="FFFFFF"/>
        <w:spacing w:before="100" w:beforeAutospacing="1" w:after="100" w:afterAutospacing="1" w:line="240" w:lineRule="auto"/>
        <w:jc w:val="both"/>
        <w:rPr>
          <w:rFonts w:eastAsia="Times New Roman" w:cs="Tahoma"/>
          <w:color w:val="000000"/>
          <w:sz w:val="24"/>
          <w:szCs w:val="24"/>
          <w:lang w:eastAsia="el-GR"/>
        </w:rPr>
      </w:pPr>
      <w:r w:rsidRPr="00A8311A">
        <w:rPr>
          <w:rFonts w:eastAsia="Times New Roman" w:cs="Tahoma"/>
          <w:color w:val="000000"/>
          <w:sz w:val="24"/>
          <w:szCs w:val="24"/>
          <w:lang w:eastAsia="el-GR"/>
        </w:rPr>
        <w:t>Στο ισοζύγιο πρωτογενών εισοδημάτων καταγράφονται οι χρηματικές ροές που προκύπτουν από συναλλαγές (εισπράξεις και πληρωμές) μεταξύ κατοίκων και μη κατοίκων και αφορούν σε εισοδήματα από εργασία, από άμεσες επενδύσεις, από επενδύσεις χαρτοφυλακίου και από λοιπές επενδύσεις (δάνεια και καταθέσεις). </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Επιπλέον, σύμφωνα με τις οδηγίες της 6ης έκδοσης του εγχειριδίου του ΔΝΤ για το Ισοζύγιο Πληρωμών, περιλαμβάνονται οι χρηματικές ροές της Γενικής κυβέρνησης με το εξωτερικό (κυρίως Ε.Ε) οι οποίες αφορούν σε φόρους και επιδοτήσεις επί των προϊόντων ή της παραγωγής (μέρος των πρώην τρεχουσών μεταβιβάσεων).</w:t>
      </w:r>
      <w:r w:rsidRPr="00A8311A">
        <w:rPr>
          <w:rFonts w:eastAsia="Times New Roman" w:cs="Tahoma"/>
          <w:color w:val="000000"/>
          <w:sz w:val="24"/>
          <w:szCs w:val="24"/>
          <w:lang w:eastAsia="el-GR"/>
        </w:rPr>
        <w:br/>
        <w:t> </w:t>
      </w:r>
      <w:r w:rsidRPr="00A8311A">
        <w:rPr>
          <w:rFonts w:eastAsia="Times New Roman" w:cs="Tahoma"/>
          <w:color w:val="000000"/>
          <w:sz w:val="24"/>
          <w:szCs w:val="24"/>
          <w:lang w:eastAsia="el-GR"/>
        </w:rPr>
        <w:br/>
        <w:t>Οι στατιστικές πληροφορίες για όλες τις κατηγορίες εισοδημάτων, εκτός αυτών που αφορούν στα ομόλογα, αναγγέλλονται στην Τράπεζα της Ελλάδος από τα εγχώρια πιστωτικά ιδρύματα που διαμεσολαβούν στον διακανονισμό αυτών των συναλλαγών. Επιπλέον, από το Κεντρικό Αποθετήριο Αξιών παρέχονται στοιχεία για τις συναλλαγές (αγορές-πωλήσεις) μη κατοίκων σε μετοχές που διαπραγματεύονται στο ΧΑΑ.</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Στο εισόδημα από επενδύσεις χαρτοφυλακίου, από το έτος 2003, οι τόκοι ομολόγων υπολογίζονται όχι με βάση τους καταβληθέντες αλλά με βάση τους δεδουλευμένους τόκους (για περισσότερες πληροφορίες: Δελτίο Τύπου Τράπεζα Ελλάδος - Ισοζύγιο πληρωμών - ΑΠΡΙΛΙΟΣ 2005). </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 xml:space="preserve">Στο εισόδημα από άμεσες επενδύσεις, από το 2003, καταγράφονται και τα </w:t>
      </w:r>
      <w:proofErr w:type="spellStart"/>
      <w:r w:rsidRPr="00A8311A">
        <w:rPr>
          <w:rFonts w:eastAsia="Times New Roman" w:cs="Tahoma"/>
          <w:color w:val="000000"/>
          <w:sz w:val="24"/>
          <w:szCs w:val="24"/>
          <w:lang w:eastAsia="el-GR"/>
        </w:rPr>
        <w:t>επανεπενδυθέντα</w:t>
      </w:r>
      <w:proofErr w:type="spellEnd"/>
      <w:r w:rsidRPr="00A8311A">
        <w:rPr>
          <w:rFonts w:eastAsia="Times New Roman" w:cs="Tahoma"/>
          <w:color w:val="000000"/>
          <w:sz w:val="24"/>
          <w:szCs w:val="24"/>
          <w:lang w:eastAsia="el-GR"/>
        </w:rPr>
        <w:t xml:space="preserve"> κέρδη από τις άμεσες επενδύσεις, τα οποία εκτιμώνται με βάση τα στοιχεία που συλλέγει η Τράπεζα της Ελλάδος απευθείας από τις επιχειρήσεις που λειτουργούν στην Ελλάδα και έχουν σχέση άμεσης επένδυσης. </w:t>
      </w:r>
    </w:p>
    <w:p w:rsidR="00A8311A" w:rsidRPr="00A8311A" w:rsidRDefault="00A8311A" w:rsidP="00A8311A">
      <w:pPr>
        <w:pStyle w:val="bog-title"/>
        <w:shd w:val="clear" w:color="auto" w:fill="FFFFFF"/>
        <w:jc w:val="center"/>
        <w:rPr>
          <w:rFonts w:asciiTheme="minorHAnsi" w:hAnsiTheme="minorHAnsi" w:cs="Tahoma"/>
          <w:b/>
          <w:bCs/>
          <w:color w:val="505050"/>
        </w:rPr>
      </w:pPr>
      <w:r w:rsidRPr="00A8311A">
        <w:rPr>
          <w:rFonts w:asciiTheme="minorHAnsi" w:hAnsiTheme="minorHAnsi" w:cs="Tahoma"/>
          <w:b/>
          <w:bCs/>
          <w:color w:val="505050"/>
        </w:rPr>
        <w:t>Ισοζύγιο Δευτερογενών Εισοδημάτων</w:t>
      </w:r>
    </w:p>
    <w:p w:rsidR="00A8311A" w:rsidRPr="00A8311A" w:rsidRDefault="00A8311A" w:rsidP="00A8311A">
      <w:pPr>
        <w:pStyle w:val="bog-title"/>
        <w:shd w:val="clear" w:color="auto" w:fill="FFFFFF"/>
        <w:jc w:val="center"/>
        <w:rPr>
          <w:rFonts w:asciiTheme="minorHAnsi" w:hAnsiTheme="minorHAnsi" w:cs="Tahoma"/>
          <w:b/>
          <w:bCs/>
          <w:color w:val="505050"/>
        </w:rPr>
      </w:pPr>
      <w:r w:rsidRPr="00A8311A">
        <w:rPr>
          <w:rStyle w:val="bog-bodytext"/>
          <w:rFonts w:asciiTheme="minorHAnsi" w:hAnsiTheme="minorHAnsi" w:cs="Tahoma"/>
          <w:color w:val="000000"/>
        </w:rPr>
        <w:t xml:space="preserve">Το ισοζύγιο δευτερογενών εισοδημάτων απεικονίζει τις τρέχουσες μεταβιβάσεις. Ως τρέχουσες μεταβιβάσεις χαρακτηρίζονται οι μονομερείς εισπράξεις και πληρωμές μεταξύ κατοίκων και μη κατοίκων που δεν συνδέονται με επενδύσεις παγίου </w:t>
      </w:r>
      <w:r w:rsidRPr="00A8311A">
        <w:rPr>
          <w:rStyle w:val="bog-bodytext"/>
          <w:rFonts w:asciiTheme="minorHAnsi" w:hAnsiTheme="minorHAnsi" w:cs="Tahoma"/>
          <w:color w:val="000000"/>
        </w:rPr>
        <w:lastRenderedPageBreak/>
        <w:t>κεφαλαίου.</w:t>
      </w:r>
      <w:r w:rsidRPr="00A8311A">
        <w:rPr>
          <w:rFonts w:asciiTheme="minorHAnsi" w:hAnsiTheme="minorHAnsi" w:cs="Tahoma"/>
          <w:color w:val="000000"/>
        </w:rPr>
        <w:br/>
      </w:r>
      <w:r w:rsidRPr="00A8311A">
        <w:rPr>
          <w:rFonts w:asciiTheme="minorHAnsi" w:hAnsiTheme="minorHAnsi" w:cs="Tahoma"/>
          <w:color w:val="000000"/>
        </w:rPr>
        <w:br/>
      </w:r>
      <w:r w:rsidRPr="00A8311A">
        <w:rPr>
          <w:rStyle w:val="bog-bodytext"/>
          <w:rFonts w:asciiTheme="minorHAnsi" w:hAnsiTheme="minorHAnsi" w:cs="Tahoma"/>
          <w:color w:val="000000"/>
        </w:rPr>
        <w:t>Το ισοζύγιο δευτερογενών εισοδημάτων περιλαμβάνει κυρίως ένα μέρος των μεταβιβάσεων (εισπράξεων) από τον κοινοτικό προϋπολογισμό της Ευρωπαϊκής Ένωσης στην Γενική Κυβέρνηση (όπως, απολήψεις από το Τμήμα Εγγυήσεων του Ευρωπαϊκού Γεωργικού Ταμείου Προσανατολισμού και Εγγυήσεων ΕΓΤΠΕ και το Ευρωπαϊκό Κοινωνικό Ταμείο), τη συνεισφορά (πληρωμές) της Ελλάδος στον κοινοτικό προϋπολογισμό και τα μεταναστευτικά εμβάσματα. Η διάκριση των μεταβιβάσεων από την Ευρωπαϊκή Ένωση σε τρέχουσες και κεφαλαιακές πραγματοποιείται με βάση την πληροφόρηση που παρέχεται από το Γενικό Λογιστήριο του Κράτους.</w:t>
      </w:r>
      <w:r w:rsidRPr="00A8311A">
        <w:rPr>
          <w:rStyle w:val="apple-converted-space"/>
          <w:rFonts w:asciiTheme="minorHAnsi" w:hAnsiTheme="minorHAnsi" w:cs="Tahoma"/>
          <w:color w:val="000000"/>
        </w:rPr>
        <w:t> </w:t>
      </w:r>
      <w:r w:rsidRPr="00A8311A">
        <w:rPr>
          <w:rFonts w:asciiTheme="minorHAnsi" w:hAnsiTheme="minorHAnsi" w:cs="Tahoma"/>
          <w:color w:val="000000"/>
        </w:rPr>
        <w:br/>
      </w:r>
      <w:r w:rsidRPr="00A8311A">
        <w:rPr>
          <w:rFonts w:asciiTheme="minorHAnsi" w:hAnsiTheme="minorHAnsi" w:cs="Tahoma"/>
          <w:color w:val="000000"/>
        </w:rPr>
        <w:br/>
      </w:r>
      <w:r w:rsidRPr="00A8311A">
        <w:rPr>
          <w:rStyle w:val="bog-bodytext"/>
          <w:rFonts w:asciiTheme="minorHAnsi" w:hAnsiTheme="minorHAnsi" w:cs="Tahoma"/>
          <w:color w:val="000000"/>
        </w:rPr>
        <w:t xml:space="preserve">Σύμφωνα με τις οδηγίες της 6ης έκδοσης του εγχειριδίου του ΔΝΤ για το Ισοζύγιο Πληρωμών, ένα μέρος των τρεχουσών μεταβιβάσεων, που αφορά φόρους και επιδοτήσεις επί των προϊόντων ή της </w:t>
      </w:r>
      <w:proofErr w:type="spellStart"/>
      <w:r w:rsidRPr="00A8311A">
        <w:rPr>
          <w:rStyle w:val="bog-bodytext"/>
          <w:rFonts w:asciiTheme="minorHAnsi" w:hAnsiTheme="minorHAnsi" w:cs="Tahoma"/>
          <w:color w:val="000000"/>
        </w:rPr>
        <w:t>παρα</w:t>
      </w:r>
      <w:r w:rsidRPr="00A8311A">
        <w:rPr>
          <w:rFonts w:asciiTheme="minorHAnsi" w:hAnsiTheme="minorHAnsi" w:cs="Tahoma"/>
          <w:b/>
          <w:bCs/>
          <w:color w:val="505050"/>
        </w:rPr>
        <w:t>Ισοζύγιο</w:t>
      </w:r>
      <w:proofErr w:type="spellEnd"/>
      <w:r w:rsidRPr="00A8311A">
        <w:rPr>
          <w:rFonts w:asciiTheme="minorHAnsi" w:hAnsiTheme="minorHAnsi" w:cs="Tahoma"/>
          <w:b/>
          <w:bCs/>
          <w:color w:val="505050"/>
        </w:rPr>
        <w:t xml:space="preserve"> Κεφαλαίων</w:t>
      </w:r>
    </w:p>
    <w:p w:rsidR="00A8311A" w:rsidRPr="00A8311A" w:rsidRDefault="00A8311A" w:rsidP="00A8311A">
      <w:pPr>
        <w:shd w:val="clear" w:color="auto" w:fill="FFFFFF"/>
        <w:spacing w:before="100" w:beforeAutospacing="1" w:after="240" w:line="240" w:lineRule="auto"/>
        <w:jc w:val="both"/>
        <w:rPr>
          <w:rFonts w:eastAsia="Times New Roman" w:cs="Tahoma"/>
          <w:color w:val="000000"/>
          <w:sz w:val="24"/>
          <w:szCs w:val="24"/>
          <w:lang w:eastAsia="el-GR"/>
        </w:rPr>
      </w:pPr>
      <w:r w:rsidRPr="00A8311A">
        <w:rPr>
          <w:rFonts w:eastAsia="Times New Roman" w:cs="Tahoma"/>
          <w:color w:val="000000"/>
          <w:sz w:val="24"/>
          <w:szCs w:val="24"/>
          <w:lang w:eastAsia="el-GR"/>
        </w:rPr>
        <w:t>Το ισοζύγιο κεφαλαίων απεικονίζει τις μεταβιβάσεις κεφαλαίου. Ως μεταβιβάσεις κεφαλαίου χαρακτηρίζονται οι μονομερείς εισπράξεις και πληρωμές μεταξύ κατοίκων και μη κατοίκων που συνδέονται με επενδύσεις παγίου κεφαλαίου. </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Οι μεταβιβάσεις κεφαλαίου περιλαμβάνουν κυρίως ένα μέρος των μεταβιβάσεων (εισπράξεων) από τον κοινοτικό προϋπολογισμό της Ευρωπαϊκής Ένωσης στην Γενική Κυβέρνηση (απολήψεις από τα διαρθρωτικά ταμεία – πλην του Ευρωπαϊκού Κοινωνικού Ταμείου – και από το Ταμείο Συνοχής βάσει των ΚΠΣ). Η διάκριση των μεταβιβάσεων από την Ευρωπαϊκή Ένωση πραγματοποιείται με βάση την πληροφόρηση που παρέχεται από το Γενικό Λογιστήριο του Κράτους.  </w:t>
      </w:r>
    </w:p>
    <w:p w:rsidR="00A8311A" w:rsidRPr="00A8311A" w:rsidRDefault="00A8311A" w:rsidP="00A8311A">
      <w:pPr>
        <w:pStyle w:val="Web"/>
        <w:shd w:val="clear" w:color="auto" w:fill="FFFFFF"/>
        <w:jc w:val="both"/>
        <w:rPr>
          <w:rFonts w:asciiTheme="minorHAnsi" w:hAnsiTheme="minorHAnsi"/>
          <w:color w:val="262626"/>
        </w:rPr>
      </w:pPr>
      <w:proofErr w:type="spellStart"/>
      <w:r w:rsidRPr="00A8311A">
        <w:rPr>
          <w:rStyle w:val="bog-bodytext"/>
          <w:rFonts w:asciiTheme="minorHAnsi" w:hAnsiTheme="minorHAnsi" w:cs="Tahoma"/>
          <w:color w:val="000000"/>
        </w:rPr>
        <w:t>γωγής</w:t>
      </w:r>
      <w:proofErr w:type="spellEnd"/>
      <w:r w:rsidRPr="00A8311A">
        <w:rPr>
          <w:rStyle w:val="bog-bodytext"/>
          <w:rFonts w:asciiTheme="minorHAnsi" w:hAnsiTheme="minorHAnsi" w:cs="Tahoma"/>
          <w:color w:val="000000"/>
        </w:rPr>
        <w:t>, μετακινείται στα πρωτογενή εισοδήματα.</w:t>
      </w:r>
    </w:p>
    <w:p w:rsidR="00A8311A" w:rsidRPr="00A8311A" w:rsidRDefault="00A8311A" w:rsidP="00A8311A">
      <w:pPr>
        <w:shd w:val="clear" w:color="auto" w:fill="FFFFFF"/>
        <w:spacing w:before="100" w:beforeAutospacing="1" w:after="100" w:afterAutospacing="1" w:line="240" w:lineRule="auto"/>
        <w:jc w:val="center"/>
        <w:rPr>
          <w:rFonts w:eastAsia="Times New Roman" w:cs="Times New Roman"/>
          <w:color w:val="262626"/>
          <w:sz w:val="24"/>
          <w:szCs w:val="24"/>
          <w:lang w:eastAsia="el-GR"/>
        </w:rPr>
      </w:pPr>
      <w:r w:rsidRPr="00A8311A">
        <w:rPr>
          <w:rFonts w:eastAsia="Times New Roman" w:cs="Tahoma"/>
          <w:b/>
          <w:bCs/>
          <w:color w:val="505050"/>
          <w:sz w:val="24"/>
          <w:szCs w:val="24"/>
          <w:lang w:eastAsia="el-GR"/>
        </w:rPr>
        <w:t>Ισοζύγιο Χρηματοοικονομικών Συναλλαγών</w:t>
      </w:r>
    </w:p>
    <w:p w:rsidR="00A8311A" w:rsidRPr="00A8311A" w:rsidRDefault="00A8311A" w:rsidP="00A8311A">
      <w:pPr>
        <w:shd w:val="clear" w:color="auto" w:fill="FFFFFF"/>
        <w:spacing w:before="100" w:beforeAutospacing="1" w:after="100" w:afterAutospacing="1" w:line="240" w:lineRule="auto"/>
        <w:jc w:val="both"/>
        <w:rPr>
          <w:rFonts w:eastAsia="Times New Roman" w:cs="Times New Roman"/>
          <w:color w:val="262626"/>
          <w:sz w:val="24"/>
          <w:szCs w:val="24"/>
          <w:lang w:eastAsia="el-GR"/>
        </w:rPr>
      </w:pPr>
      <w:r w:rsidRPr="00A8311A">
        <w:rPr>
          <w:rFonts w:eastAsia="Times New Roman" w:cs="Tahoma"/>
          <w:color w:val="000000"/>
          <w:sz w:val="24"/>
          <w:szCs w:val="24"/>
          <w:lang w:eastAsia="el-GR"/>
        </w:rPr>
        <w:t>Στο ισοζύγιο χρηματοοικονομικών συναλλαγών καταγράφονται σε καθαρή βάση οι χρηματικές ροές από συναλλαγές που δημιουργούν μεταβολή στις απαιτήσεις και υποχρεώσεις των κατοίκων έναντι μη κατοίκων. Οι υποχρεώσεις και οι απαιτήσεις αυτές διακρίνονται στις εξής κατηγορίες :</w:t>
      </w:r>
    </w:p>
    <w:p w:rsidR="00A8311A" w:rsidRPr="00A8311A" w:rsidRDefault="00C77242" w:rsidP="00A8311A">
      <w:pPr>
        <w:numPr>
          <w:ilvl w:val="0"/>
          <w:numId w:val="1"/>
        </w:numPr>
        <w:shd w:val="clear" w:color="auto" w:fill="FFFFFF"/>
        <w:spacing w:before="100" w:beforeAutospacing="1" w:after="100" w:afterAutospacing="1" w:line="240" w:lineRule="auto"/>
        <w:jc w:val="both"/>
        <w:rPr>
          <w:rFonts w:eastAsia="Times New Roman" w:cs="Times New Roman"/>
          <w:color w:val="262626"/>
          <w:sz w:val="24"/>
          <w:szCs w:val="24"/>
          <w:lang w:eastAsia="el-GR"/>
        </w:rPr>
      </w:pPr>
      <w:hyperlink r:id="rId6" w:anchor="prime" w:history="1">
        <w:r w:rsidR="00A8311A" w:rsidRPr="00A8311A">
          <w:rPr>
            <w:rFonts w:eastAsia="Times New Roman" w:cs="Tahoma"/>
            <w:color w:val="0000FF"/>
            <w:sz w:val="24"/>
            <w:szCs w:val="24"/>
            <w:u w:val="single"/>
            <w:lang w:eastAsia="el-GR"/>
          </w:rPr>
          <w:t>Άμεσες Επενδύσεις</w:t>
        </w:r>
      </w:hyperlink>
    </w:p>
    <w:p w:rsidR="00A8311A" w:rsidRPr="00A8311A" w:rsidRDefault="00C77242" w:rsidP="00A8311A">
      <w:pPr>
        <w:numPr>
          <w:ilvl w:val="0"/>
          <w:numId w:val="1"/>
        </w:numPr>
        <w:shd w:val="clear" w:color="auto" w:fill="FFFFFF"/>
        <w:spacing w:before="100" w:beforeAutospacing="1" w:after="100" w:afterAutospacing="1" w:line="240" w:lineRule="auto"/>
        <w:jc w:val="both"/>
        <w:rPr>
          <w:rFonts w:eastAsia="Times New Roman" w:cs="Times New Roman"/>
          <w:color w:val="262626"/>
          <w:sz w:val="24"/>
          <w:szCs w:val="24"/>
          <w:lang w:eastAsia="el-GR"/>
        </w:rPr>
      </w:pPr>
      <w:hyperlink r:id="rId7" w:anchor="portfolio" w:history="1">
        <w:r w:rsidR="00A8311A" w:rsidRPr="00A8311A">
          <w:rPr>
            <w:rFonts w:eastAsia="Times New Roman" w:cs="Tahoma"/>
            <w:color w:val="0000FF"/>
            <w:sz w:val="24"/>
            <w:szCs w:val="24"/>
            <w:u w:val="single"/>
            <w:lang w:eastAsia="el-GR"/>
          </w:rPr>
          <w:t>Επενδύσεις </w:t>
        </w:r>
        <w:proofErr w:type="spellStart"/>
        <w:r w:rsidR="00A8311A" w:rsidRPr="00A8311A">
          <w:rPr>
            <w:rFonts w:eastAsia="Times New Roman" w:cs="Tahoma"/>
            <w:color w:val="0000FF"/>
            <w:sz w:val="24"/>
            <w:szCs w:val="24"/>
            <w:u w:val="single"/>
            <w:lang w:eastAsia="el-GR"/>
          </w:rPr>
          <w:t>Xαρτοφυλακίου</w:t>
        </w:r>
        <w:proofErr w:type="spellEnd"/>
      </w:hyperlink>
    </w:p>
    <w:p w:rsidR="00A8311A" w:rsidRPr="00A8311A" w:rsidRDefault="00C77242" w:rsidP="00A8311A">
      <w:pPr>
        <w:numPr>
          <w:ilvl w:val="0"/>
          <w:numId w:val="1"/>
        </w:numPr>
        <w:shd w:val="clear" w:color="auto" w:fill="FFFFFF"/>
        <w:spacing w:before="100" w:beforeAutospacing="1" w:after="100" w:afterAutospacing="1" w:line="240" w:lineRule="auto"/>
        <w:jc w:val="both"/>
        <w:rPr>
          <w:rFonts w:eastAsia="Times New Roman" w:cs="Times New Roman"/>
          <w:color w:val="262626"/>
          <w:sz w:val="24"/>
          <w:szCs w:val="24"/>
          <w:lang w:eastAsia="el-GR"/>
        </w:rPr>
      </w:pPr>
      <w:hyperlink r:id="rId8" w:anchor="rest" w:history="1">
        <w:r w:rsidR="00A8311A" w:rsidRPr="00A8311A">
          <w:rPr>
            <w:rFonts w:eastAsia="Times New Roman" w:cs="Tahoma"/>
            <w:color w:val="0000FF"/>
            <w:sz w:val="24"/>
            <w:szCs w:val="24"/>
            <w:u w:val="single"/>
            <w:lang w:eastAsia="el-GR"/>
          </w:rPr>
          <w:t>Λοιπές Επενδύσεις</w:t>
        </w:r>
      </w:hyperlink>
    </w:p>
    <w:p w:rsidR="00A8311A" w:rsidRPr="00A8311A" w:rsidRDefault="00C77242" w:rsidP="00A8311A">
      <w:pPr>
        <w:numPr>
          <w:ilvl w:val="0"/>
          <w:numId w:val="1"/>
        </w:numPr>
        <w:shd w:val="clear" w:color="auto" w:fill="FFFFFF"/>
        <w:spacing w:before="100" w:beforeAutospacing="1" w:after="100" w:afterAutospacing="1" w:line="240" w:lineRule="auto"/>
        <w:jc w:val="both"/>
        <w:rPr>
          <w:rFonts w:eastAsia="Times New Roman" w:cs="Tahoma"/>
          <w:color w:val="000000"/>
          <w:sz w:val="24"/>
          <w:szCs w:val="24"/>
          <w:lang w:eastAsia="el-GR"/>
        </w:rPr>
      </w:pPr>
      <w:hyperlink r:id="rId9" w:history="1">
        <w:r w:rsidR="00A8311A" w:rsidRPr="00A8311A">
          <w:rPr>
            <w:rFonts w:eastAsia="Times New Roman" w:cs="Tahoma"/>
            <w:color w:val="0000FF"/>
            <w:sz w:val="24"/>
            <w:szCs w:val="24"/>
            <w:u w:val="single"/>
            <w:lang w:eastAsia="el-GR"/>
          </w:rPr>
          <w:t>Μεταβολή συναλλαγματικών διαθεσίμων</w:t>
        </w:r>
      </w:hyperlink>
    </w:p>
    <w:p w:rsidR="00A8311A" w:rsidRPr="00A8311A" w:rsidRDefault="00A8311A" w:rsidP="00A8311A">
      <w:pPr>
        <w:shd w:val="clear" w:color="auto" w:fill="FFFFFF"/>
        <w:spacing w:before="100" w:beforeAutospacing="1" w:after="100" w:afterAutospacing="1" w:line="240" w:lineRule="auto"/>
        <w:jc w:val="both"/>
        <w:rPr>
          <w:rFonts w:eastAsia="Times New Roman" w:cs="Times New Roman"/>
          <w:color w:val="262626"/>
          <w:sz w:val="24"/>
          <w:szCs w:val="24"/>
          <w:lang w:eastAsia="el-GR"/>
        </w:rPr>
      </w:pPr>
      <w:r w:rsidRPr="00A8311A">
        <w:rPr>
          <w:rFonts w:eastAsia="Times New Roman" w:cs="Tahoma"/>
          <w:color w:val="000000"/>
          <w:sz w:val="24"/>
          <w:szCs w:val="24"/>
          <w:lang w:eastAsia="el-GR"/>
        </w:rPr>
        <w:t xml:space="preserve">Η καταγραφή των καθαρών ροών στις χρηματοοικονομικές συναλλαγές ακολουθεί τη σύμβαση για τα πρόσημα της 6ης έκδοσης του Εγχειριδίου του ΔΝΤ για το ισοζύγιο πληρωμών. Το θετικό πρόσημο δηλώνει αύξηση των απαιτήσεων κατοίκων Ελλάδος έναντι μη κατοίκων, ενώ το αρνητικό μείωση των απαιτήσεων κατοίκων Ελλάδος έναντι μη κατοίκων. Κατά αντιστοιχία, το θετικό πρόσημο στις </w:t>
      </w:r>
      <w:r w:rsidRPr="00A8311A">
        <w:rPr>
          <w:rFonts w:eastAsia="Times New Roman" w:cs="Tahoma"/>
          <w:color w:val="000000"/>
          <w:sz w:val="24"/>
          <w:szCs w:val="24"/>
          <w:lang w:eastAsia="el-GR"/>
        </w:rPr>
        <w:lastRenderedPageBreak/>
        <w:t>υποχρεώσεις κατοίκων Ελλάδος προς μη κατοίκους σημαίνει αύξηση αυτών, ενώ το αρνητικό πρόσημο μείωσή τους. </w:t>
      </w:r>
    </w:p>
    <w:p w:rsidR="00A8311A" w:rsidRPr="00A8311A" w:rsidRDefault="00A8311A" w:rsidP="00A8311A">
      <w:pPr>
        <w:shd w:val="clear" w:color="auto" w:fill="FFFFFF"/>
        <w:spacing w:before="100" w:beforeAutospacing="1" w:after="100" w:afterAutospacing="1" w:line="240" w:lineRule="auto"/>
        <w:jc w:val="center"/>
        <w:rPr>
          <w:rFonts w:eastAsia="Times New Roman" w:cs="Times New Roman"/>
          <w:color w:val="262626"/>
          <w:sz w:val="24"/>
          <w:szCs w:val="24"/>
          <w:lang w:eastAsia="el-GR"/>
        </w:rPr>
      </w:pPr>
      <w:r w:rsidRPr="00A8311A">
        <w:rPr>
          <w:rFonts w:eastAsia="Times New Roman" w:cs="Tahoma"/>
          <w:b/>
          <w:bCs/>
          <w:color w:val="000000"/>
          <w:sz w:val="24"/>
          <w:szCs w:val="24"/>
          <w:lang w:eastAsia="el-GR"/>
        </w:rPr>
        <w:t>Άμεσες Επενδύσεις</w:t>
      </w:r>
    </w:p>
    <w:p w:rsidR="00A8311A" w:rsidRPr="00A8311A" w:rsidRDefault="00A8311A" w:rsidP="00A8311A">
      <w:pPr>
        <w:shd w:val="clear" w:color="auto" w:fill="FFFFFF"/>
        <w:spacing w:before="100" w:beforeAutospacing="1" w:after="100" w:afterAutospacing="1" w:line="240" w:lineRule="auto"/>
        <w:jc w:val="both"/>
        <w:rPr>
          <w:rFonts w:eastAsia="Times New Roman" w:cs="Times New Roman"/>
          <w:color w:val="262626"/>
          <w:sz w:val="24"/>
          <w:szCs w:val="24"/>
          <w:lang w:eastAsia="el-GR"/>
        </w:rPr>
      </w:pPr>
      <w:r w:rsidRPr="00A8311A">
        <w:rPr>
          <w:rFonts w:eastAsia="Times New Roman" w:cs="Tahoma"/>
          <w:color w:val="000000"/>
          <w:sz w:val="24"/>
          <w:szCs w:val="24"/>
          <w:lang w:eastAsia="el-GR"/>
        </w:rPr>
        <w:t>Στην κατηγορία των αμέσων επενδύσεων καταγράφονται οι χρηματικές ροές μεταξύ επιχειρήσεων κατοίκων και μη κατοίκων οι οποίες έχουν σχέση άμεσης επένδυσης. Μια σχέση άμεσης επένδυσης δημιουργείται όταν ελληνική εταιρεία (άμεσος επενδυτής) κατέχει τουλάχιστον το 10% του μετοχικού κεφαλαίου μη κατοίκου εταιρείας (επιχείρηση άμεσης επένδυσης) ή, αντιστρόφως, όταν εταιρεία μη κάτοικος (άμεσος επενδυτής) κατέχει τουλάχιστον το 10% του μετοχικού κεφαλαίου ελληνικής εταιρείας (επιχείρηση άμεσης επένδυσης).</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Στην κατηγορία των άμεσων επενδύσεων περιλαμβάνεται και η ίδρυση υποκαταστήματος καθώς και οι επενδύσεις ακινήτων. </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Όλες οι συναλλαγές - κατόπιν της αρχικής για την δημιουργία της σχέσης άμεσης επένδυσης - που αφορούν στη διατήρηση, επέκταση και παύση της σχέσης αυτής, καθώς και η χορήγηση δανείων και εμπορικών πιστώσεων μεταξύ άμεσου επενδυτή και επιχείρηση άμεσης επένδυσης καταγράφονται στην κατηγορία των άμεσων επενδύσεων. Τέλος, στις άμεσες επενδύσεις περιλαμβάνονται τα μη διανεμηθέντα (</w:t>
      </w:r>
      <w:proofErr w:type="spellStart"/>
      <w:r w:rsidRPr="00A8311A">
        <w:rPr>
          <w:rFonts w:eastAsia="Times New Roman" w:cs="Tahoma"/>
          <w:color w:val="000000"/>
          <w:sz w:val="24"/>
          <w:szCs w:val="24"/>
          <w:lang w:eastAsia="el-GR"/>
        </w:rPr>
        <w:t>επανεπενδυθέντα</w:t>
      </w:r>
      <w:proofErr w:type="spellEnd"/>
      <w:r w:rsidRPr="00A8311A">
        <w:rPr>
          <w:rFonts w:eastAsia="Times New Roman" w:cs="Tahoma"/>
          <w:color w:val="000000"/>
          <w:sz w:val="24"/>
          <w:szCs w:val="24"/>
          <w:lang w:eastAsia="el-GR"/>
        </w:rPr>
        <w:t>) κέρδη. Εάν οι εταιρείες που βρίσκονται σε σχέση άμεσης επένδυσης είναι πιστωτικά ιδρύματα, στις άμεσες επενδύσεις καταγράφεται μόνο η αρχική συμμετοχή στο μετοχικό κεφάλαιο (εφόσον είναι &gt;10%) και η περαιτέρω αύξηση συμμετοχής αλλά όχι οι συναλλαγές σε καταθέσεις και δάνεια μεταξύ αυτών. </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Ο τρόπος καταγραφής των αμέσων επενδύσεων ακολουθεί το κριτήριο της ‘κατεύθυνσης’ της επένδυσης. Σύμφωνα με το κριτήριο αυτό, όλες οι χρηματικές ροές μεταξύ κατοίκου άμεσου επενδυτή και μη κατοίκου επιχείρηση άμεσης επένδυσης καταγράφονται στην κατηγορία άμεσες επενδύσεις στο εξωτερικό, ενώ όλες οι χρηματικές ροές μεταξύ μη κατοίκου άμεσου επενδυτή και κατοίκου επιχείρησης άμεσης επένδυσης καταγράφονται στην κατηγορία άμεσες επενδύσεις στην Ελλάδα. </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Η εναλλακτική καταγραφή των άμεσων επενδύσεων που ακολουθεί το κριτήριο των ‘απαιτήσεων/</w:t>
      </w:r>
      <w:proofErr w:type="spellStart"/>
      <w:r w:rsidRPr="00A8311A">
        <w:rPr>
          <w:rFonts w:eastAsia="Times New Roman" w:cs="Tahoma"/>
          <w:color w:val="000000"/>
          <w:sz w:val="24"/>
          <w:szCs w:val="24"/>
          <w:lang w:eastAsia="el-GR"/>
        </w:rPr>
        <w:t>υποχρεώσεω</w:t>
      </w:r>
      <w:proofErr w:type="spellEnd"/>
      <w:r w:rsidRPr="00A8311A">
        <w:rPr>
          <w:rFonts w:eastAsia="Times New Roman" w:cs="Tahoma"/>
          <w:color w:val="000000"/>
          <w:sz w:val="24"/>
          <w:szCs w:val="24"/>
          <w:lang w:eastAsia="el-GR"/>
        </w:rPr>
        <w:t>ν’ (βλ. ειδικό δελτίο τύπου BPM6) είναι απαραίτητη μόνο στη συνολική παρουσίαση του ισοζυγίου πληρωμών. Στην περίπτωση παρουσίασης στατιστικών στοιχείων άμεσων επενδύσεων ανά χώρα ή ανά κλάδο οικονομικής δραστηριότητας ακολουθείται το κριτήριο της ‘κατεύθυνσης’ της επένδυσης που ίσχυε μέχρι σήμερα.</w:t>
      </w:r>
    </w:p>
    <w:p w:rsidR="00A8311A" w:rsidRPr="00A8311A" w:rsidRDefault="00A8311A" w:rsidP="00A8311A">
      <w:pPr>
        <w:shd w:val="clear" w:color="auto" w:fill="FFFFFF"/>
        <w:spacing w:before="100" w:beforeAutospacing="1" w:after="100" w:afterAutospacing="1" w:line="240" w:lineRule="auto"/>
        <w:jc w:val="center"/>
        <w:rPr>
          <w:rFonts w:eastAsia="Times New Roman" w:cs="Times New Roman"/>
          <w:color w:val="262626"/>
          <w:sz w:val="24"/>
          <w:szCs w:val="24"/>
          <w:lang w:eastAsia="el-GR"/>
        </w:rPr>
      </w:pPr>
      <w:r w:rsidRPr="00A8311A">
        <w:rPr>
          <w:rFonts w:eastAsia="Times New Roman" w:cs="Tahoma"/>
          <w:b/>
          <w:bCs/>
          <w:color w:val="505050"/>
          <w:sz w:val="24"/>
          <w:szCs w:val="24"/>
          <w:lang w:eastAsia="el-GR"/>
        </w:rPr>
        <w:t>Η Διεθνής Επενδυτική Θέση</w:t>
      </w:r>
      <w:r w:rsidRPr="00A8311A">
        <w:rPr>
          <w:rFonts w:eastAsia="Times New Roman" w:cs="Times New Roman"/>
          <w:color w:val="262626"/>
          <w:sz w:val="24"/>
          <w:szCs w:val="24"/>
          <w:lang w:eastAsia="el-GR"/>
        </w:rPr>
        <w:t>  </w:t>
      </w:r>
    </w:p>
    <w:p w:rsidR="00A8311A" w:rsidRPr="00A8311A" w:rsidRDefault="00A8311A" w:rsidP="00A8311A">
      <w:pPr>
        <w:shd w:val="clear" w:color="auto" w:fill="FFFFFF"/>
        <w:spacing w:before="100" w:beforeAutospacing="1" w:after="100" w:afterAutospacing="1" w:line="240" w:lineRule="auto"/>
        <w:jc w:val="both"/>
        <w:rPr>
          <w:rFonts w:eastAsia="Times New Roman" w:cs="Tahoma"/>
          <w:color w:val="000000"/>
          <w:sz w:val="24"/>
          <w:szCs w:val="24"/>
          <w:lang w:eastAsia="el-GR"/>
        </w:rPr>
      </w:pPr>
      <w:r w:rsidRPr="00A8311A">
        <w:rPr>
          <w:rFonts w:eastAsia="Times New Roman" w:cs="Tahoma"/>
          <w:color w:val="000000"/>
          <w:sz w:val="24"/>
          <w:szCs w:val="24"/>
          <w:lang w:eastAsia="el-GR"/>
        </w:rPr>
        <w:t xml:space="preserve">Η διεθνής επενδυτική θέση αποτυπώνει σε συγκεκριμένη χρονική στιγμή (τέλος τριμήνου και τέλος έτους) το ύψος των απαιτήσεων και υποχρεώσεων των κατοίκων Ελλάδος έναντι μη κατοίκων. Οι απαιτήσεις και οι υποχρεώσεις αναλύονται στις </w:t>
      </w:r>
      <w:r w:rsidRPr="00A8311A">
        <w:rPr>
          <w:rFonts w:eastAsia="Times New Roman" w:cs="Tahoma"/>
          <w:color w:val="000000"/>
          <w:sz w:val="24"/>
          <w:szCs w:val="24"/>
          <w:lang w:eastAsia="el-GR"/>
        </w:rPr>
        <w:lastRenderedPageBreak/>
        <w:t xml:space="preserve">βασικές κατηγορίες των άμεσων επενδύσεων, των επενδύσεων χαρτοφυλακίου, των λοιπών επενδύσεων, των συναλλαγματικών αποθεμάτων, καθώς επίσης και ανά τομέα οικονομίας, όπως Τράπεζα της Ελλάδος, Γενική κυβέρνηση, Λοιπά Νομισματικά Χρηματοπιστωτικά Ιδρύματα, και Λοιποί τομείς. Η διαφορά μεταξύ των απαιτήσεων και των υποχρεώσεων δίνει την καθαρή επενδυτική θέση η οποία αναλόγως του </w:t>
      </w:r>
      <w:proofErr w:type="spellStart"/>
      <w:r w:rsidRPr="00A8311A">
        <w:rPr>
          <w:rFonts w:eastAsia="Times New Roman" w:cs="Tahoma"/>
          <w:color w:val="000000"/>
          <w:sz w:val="24"/>
          <w:szCs w:val="24"/>
          <w:lang w:eastAsia="el-GR"/>
        </w:rPr>
        <w:t>προσήμου</w:t>
      </w:r>
      <w:proofErr w:type="spellEnd"/>
      <w:r w:rsidRPr="00A8311A">
        <w:rPr>
          <w:rFonts w:eastAsia="Times New Roman" w:cs="Tahoma"/>
          <w:color w:val="000000"/>
          <w:sz w:val="24"/>
          <w:szCs w:val="24"/>
          <w:lang w:eastAsia="el-GR"/>
        </w:rPr>
        <w:t>, θετικού η αρνητικού, χαρακτηρίζει τη χώρα ως καθαρό πιστωτή η χρεώστη αντιστοίχως έναντι του υπόλοιπου κόσμου.</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Η διεθνής επενδυτική θέση μεταβάλλεται όχι μόνο από τις συναλλαγές (χρηματικές ροές) του ισοζυγίου χρηματοοικονομικών συναλλαγών, αλλά και από τις μεταβολές των τιμών αγοράς με τις οποίες αποτιμώνται τα χρηματοοικονομικά μέσα που διαμορφώνουν το ύψος των απαιτήσεων και υποχρεώσεων. </w:t>
      </w:r>
    </w:p>
    <w:p w:rsidR="00A8311A" w:rsidRPr="00A8311A" w:rsidRDefault="00A8311A" w:rsidP="00A8311A">
      <w:pPr>
        <w:pStyle w:val="bog-title"/>
        <w:shd w:val="clear" w:color="auto" w:fill="FFFFFF"/>
        <w:jc w:val="center"/>
        <w:rPr>
          <w:rFonts w:asciiTheme="minorHAnsi" w:hAnsiTheme="minorHAnsi" w:cs="Tahoma"/>
          <w:b/>
          <w:bCs/>
          <w:color w:val="505050"/>
        </w:rPr>
      </w:pPr>
      <w:r w:rsidRPr="00A8311A">
        <w:rPr>
          <w:rFonts w:asciiTheme="minorHAnsi" w:hAnsiTheme="minorHAnsi" w:cs="Tahoma"/>
          <w:b/>
          <w:bCs/>
          <w:color w:val="505050"/>
        </w:rPr>
        <w:t>Το Εξωτερικό Χρέος</w:t>
      </w:r>
    </w:p>
    <w:p w:rsidR="00A8311A" w:rsidRPr="00A8311A" w:rsidRDefault="00A8311A" w:rsidP="00A8311A">
      <w:pPr>
        <w:pStyle w:val="Web"/>
        <w:shd w:val="clear" w:color="auto" w:fill="FFFFFF"/>
        <w:spacing w:before="0" w:beforeAutospacing="0" w:after="0" w:afterAutospacing="0"/>
        <w:jc w:val="both"/>
        <w:rPr>
          <w:rFonts w:asciiTheme="minorHAnsi" w:hAnsiTheme="minorHAnsi"/>
          <w:color w:val="262626"/>
        </w:rPr>
      </w:pPr>
      <w:r w:rsidRPr="00A8311A">
        <w:rPr>
          <w:rStyle w:val="bog-bodytext"/>
          <w:rFonts w:asciiTheme="minorHAnsi" w:hAnsiTheme="minorHAnsi" w:cs="Tahoma"/>
          <w:color w:val="000000"/>
        </w:rPr>
        <w:t>Το Εξωτερικό Χρέος καταγράφει τις υποχρεώσεις της Ελλάδας έναντι άλλων χωρών, κατανεμημένες κατά τομέα οικονομίας (Τράπεζα της Ελλάδος, Γενική κυβέρνηση, Λοιπά Νομισματικά Χρηματοπιστωτικά Ιδρύματα, και Λοιποί τομείς), κατά είδος χρηματοοικονομικού μέσου και κατά αρχική διάρκεια υποχρεώσεων (μακροχρόνιες και βραχυχρόνιες).</w:t>
      </w:r>
      <w:r w:rsidRPr="00A8311A">
        <w:rPr>
          <w:rStyle w:val="apple-converted-space"/>
          <w:rFonts w:asciiTheme="minorHAnsi" w:hAnsiTheme="minorHAnsi" w:cs="Tahoma"/>
          <w:color w:val="000000"/>
        </w:rPr>
        <w:t> </w:t>
      </w:r>
      <w:r w:rsidRPr="00A8311A">
        <w:rPr>
          <w:rFonts w:asciiTheme="minorHAnsi" w:hAnsiTheme="minorHAnsi" w:cs="Tahoma"/>
          <w:color w:val="000000"/>
        </w:rPr>
        <w:br/>
      </w:r>
      <w:r w:rsidRPr="00A8311A">
        <w:rPr>
          <w:rStyle w:val="bog-bodytext"/>
          <w:rFonts w:asciiTheme="minorHAnsi" w:hAnsiTheme="minorHAnsi" w:cs="Tahoma"/>
          <w:color w:val="000000"/>
        </w:rPr>
        <w:t>Το Εξωτερικό Χρέος δεν περιλαμβάνει τις υποχρεώσεις από μετοχές καθώς και τις άμεσες επενδύσεις.</w:t>
      </w:r>
      <w:r w:rsidRPr="00A8311A">
        <w:rPr>
          <w:rStyle w:val="apple-converted-space"/>
          <w:rFonts w:asciiTheme="minorHAnsi" w:hAnsiTheme="minorHAnsi" w:cs="Tahoma"/>
          <w:color w:val="000000"/>
        </w:rPr>
        <w:t> </w:t>
      </w:r>
      <w:r w:rsidRPr="00A8311A">
        <w:rPr>
          <w:rFonts w:asciiTheme="minorHAnsi" w:hAnsiTheme="minorHAnsi" w:cs="Tahoma"/>
          <w:color w:val="000000"/>
        </w:rPr>
        <w:br/>
      </w:r>
      <w:r w:rsidRPr="00A8311A">
        <w:rPr>
          <w:rFonts w:asciiTheme="minorHAnsi" w:hAnsiTheme="minorHAnsi" w:cs="Tahoma"/>
          <w:color w:val="000000"/>
        </w:rPr>
        <w:br/>
      </w:r>
      <w:r w:rsidRPr="00A8311A">
        <w:rPr>
          <w:rStyle w:val="bog-bodytext"/>
          <w:rFonts w:asciiTheme="minorHAnsi" w:hAnsiTheme="minorHAnsi" w:cs="Tahoma"/>
          <w:color w:val="000000"/>
        </w:rPr>
        <w:t>Αναλυτικά στοιχεία σχετικά με τις υποχρεώσεις σε μετοχές και τις άμεσες επενδύσεις υπάρχουν στη Διεθνή Επενδυτική Θέση.</w:t>
      </w:r>
      <w:r w:rsidRPr="00A8311A">
        <w:rPr>
          <w:rStyle w:val="apple-converted-space"/>
          <w:rFonts w:asciiTheme="minorHAnsi" w:hAnsiTheme="minorHAnsi" w:cs="Tahoma"/>
          <w:color w:val="000000"/>
        </w:rPr>
        <w:t> </w:t>
      </w:r>
    </w:p>
    <w:p w:rsidR="00A8311A" w:rsidRPr="00A8311A" w:rsidRDefault="00A8311A" w:rsidP="00A8311A">
      <w:pPr>
        <w:shd w:val="clear" w:color="auto" w:fill="FFFFFF"/>
        <w:spacing w:before="100" w:beforeAutospacing="1" w:after="100" w:afterAutospacing="1" w:line="240" w:lineRule="auto"/>
        <w:jc w:val="center"/>
        <w:rPr>
          <w:rFonts w:eastAsia="Times New Roman" w:cs="Times New Roman"/>
          <w:color w:val="262626"/>
          <w:sz w:val="24"/>
          <w:szCs w:val="24"/>
          <w:lang w:eastAsia="el-GR"/>
        </w:rPr>
      </w:pPr>
      <w:r w:rsidRPr="00A8311A">
        <w:rPr>
          <w:rFonts w:eastAsia="Times New Roman" w:cs="Tahoma"/>
          <w:b/>
          <w:bCs/>
          <w:color w:val="505050"/>
          <w:sz w:val="24"/>
          <w:szCs w:val="24"/>
          <w:lang w:eastAsia="el-GR"/>
        </w:rPr>
        <w:t>Τα Συναλλαγματικά Διαθέσιμα</w:t>
      </w:r>
    </w:p>
    <w:p w:rsidR="00A8311A" w:rsidRPr="00A8311A" w:rsidRDefault="00A8311A" w:rsidP="00A8311A">
      <w:pPr>
        <w:shd w:val="clear" w:color="auto" w:fill="FFFFFF"/>
        <w:spacing w:before="100" w:beforeAutospacing="1" w:after="100" w:afterAutospacing="1" w:line="240" w:lineRule="auto"/>
        <w:jc w:val="both"/>
        <w:rPr>
          <w:rFonts w:eastAsia="Times New Roman" w:cs="Times New Roman"/>
          <w:color w:val="262626"/>
          <w:sz w:val="24"/>
          <w:szCs w:val="24"/>
          <w:lang w:eastAsia="el-GR"/>
        </w:rPr>
      </w:pPr>
      <w:r w:rsidRPr="00A8311A">
        <w:rPr>
          <w:rFonts w:eastAsia="Times New Roman" w:cs="Tahoma"/>
          <w:color w:val="000000"/>
          <w:sz w:val="24"/>
          <w:szCs w:val="24"/>
          <w:lang w:eastAsia="el-GR"/>
        </w:rPr>
        <w:t xml:space="preserve">Από την είσοδο της Ελλάδος στη ζώνη του ευρώ, τα συναλλαγματικά διαθέσιμα, σύμφωνα με τον ορισμό της Ευρωπαϊκής Κεντρικής Τράπεζας (ΕΚΤ), περιλαμβάνουν μόνο τον νομισματικό χρυσό, τη ‘συναλλαγματική θέση’ στο Διεθνές Νομισματικό Ταμείο, τα ειδικά </w:t>
      </w:r>
      <w:proofErr w:type="spellStart"/>
      <w:r w:rsidRPr="00A8311A">
        <w:rPr>
          <w:rFonts w:eastAsia="Times New Roman" w:cs="Tahoma"/>
          <w:color w:val="000000"/>
          <w:sz w:val="24"/>
          <w:szCs w:val="24"/>
          <w:lang w:eastAsia="el-GR"/>
        </w:rPr>
        <w:t>τραβηκτικά</w:t>
      </w:r>
      <w:proofErr w:type="spellEnd"/>
      <w:r w:rsidRPr="00A8311A">
        <w:rPr>
          <w:rFonts w:eastAsia="Times New Roman" w:cs="Tahoma"/>
          <w:color w:val="000000"/>
          <w:sz w:val="24"/>
          <w:szCs w:val="24"/>
          <w:lang w:eastAsia="el-GR"/>
        </w:rPr>
        <w:t xml:space="preserve"> δικαιώματα και τις απαιτήσεις της Τράπεζας της Ελλάδος σε ξένο νόμισμα έναντι κατοίκων χωρών εκτός της ζώνης του ευρώ. </w:t>
      </w:r>
      <w:r w:rsidRPr="00A8311A">
        <w:rPr>
          <w:rFonts w:eastAsia="Times New Roman" w:cs="Tahoma"/>
          <w:color w:val="000000"/>
          <w:sz w:val="24"/>
          <w:szCs w:val="24"/>
          <w:lang w:eastAsia="el-GR"/>
        </w:rPr>
        <w:br/>
      </w:r>
      <w:r w:rsidRPr="00A8311A">
        <w:rPr>
          <w:rFonts w:eastAsia="Times New Roman" w:cs="Tahoma"/>
          <w:color w:val="000000"/>
          <w:sz w:val="24"/>
          <w:szCs w:val="24"/>
          <w:lang w:eastAsia="el-GR"/>
        </w:rPr>
        <w:br/>
        <w:t>Αντιθέτως, δεν περιλαμβάνουν τις απαιτήσεις σε ευρώ έναντι κατοίκων χωρών εκτός της ζώνης του ευρώ, τις απαιτήσεις σε ξένο νόμισμα και σε ευρώ έναντι κατοίκων χωρών της ζώνης του ευρώ και τη συμμετοχή της Τράπεζας της Ελλάδος στο κεφάλαιο και στα συναλλαγματικά διαθέσιμα της ΕΚΤ. </w:t>
      </w:r>
    </w:p>
    <w:p w:rsidR="00A8311A" w:rsidRPr="00A8311A" w:rsidRDefault="00A8311A" w:rsidP="00A8311A">
      <w:pPr>
        <w:rPr>
          <w:color w:val="FF0000"/>
          <w:sz w:val="24"/>
          <w:szCs w:val="24"/>
        </w:rPr>
      </w:pPr>
      <w:r w:rsidRPr="00A8311A">
        <w:rPr>
          <w:color w:val="FF0000"/>
          <w:sz w:val="24"/>
          <w:szCs w:val="24"/>
        </w:rPr>
        <w:t xml:space="preserve">ΠΗΓΗ: ΤΡΑΠΕΖΑ ΤΗΣ ΕΛΛΑΔΟΣ </w:t>
      </w:r>
      <w:bookmarkStart w:id="0" w:name="_GoBack"/>
      <w:bookmarkEnd w:id="0"/>
    </w:p>
    <w:sectPr w:rsidR="00A8311A" w:rsidRPr="00A8311A" w:rsidSect="00C772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3DE"/>
    <w:multiLevelType w:val="multilevel"/>
    <w:tmpl w:val="168E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311A"/>
    <w:rsid w:val="00A8311A"/>
    <w:rsid w:val="00C1158B"/>
    <w:rsid w:val="00C77242"/>
    <w:rsid w:val="00FF0C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g-title">
    <w:name w:val="bog-title"/>
    <w:basedOn w:val="a"/>
    <w:rsid w:val="00A8311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A831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g-bodytext">
    <w:name w:val="bog-bodytext"/>
    <w:basedOn w:val="a0"/>
    <w:rsid w:val="00A8311A"/>
  </w:style>
  <w:style w:type="character" w:customStyle="1" w:styleId="apple-converted-space">
    <w:name w:val="apple-converted-space"/>
    <w:basedOn w:val="a0"/>
    <w:rsid w:val="00A83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g-title">
    <w:name w:val="bog-title"/>
    <w:basedOn w:val="a"/>
    <w:rsid w:val="00A8311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A831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g-bodytext">
    <w:name w:val="bog-bodytext"/>
    <w:basedOn w:val="a0"/>
    <w:rsid w:val="00A8311A"/>
  </w:style>
  <w:style w:type="character" w:customStyle="1" w:styleId="apple-converted-space">
    <w:name w:val="apple-converted-space"/>
    <w:basedOn w:val="a0"/>
    <w:rsid w:val="00A8311A"/>
  </w:style>
</w:styles>
</file>

<file path=word/webSettings.xml><?xml version="1.0" encoding="utf-8"?>
<w:webSettings xmlns:r="http://schemas.openxmlformats.org/officeDocument/2006/relationships" xmlns:w="http://schemas.openxmlformats.org/wordprocessingml/2006/main">
  <w:divs>
    <w:div w:id="101145731">
      <w:bodyDiv w:val="1"/>
      <w:marLeft w:val="0"/>
      <w:marRight w:val="0"/>
      <w:marTop w:val="0"/>
      <w:marBottom w:val="0"/>
      <w:divBdr>
        <w:top w:val="none" w:sz="0" w:space="0" w:color="auto"/>
        <w:left w:val="none" w:sz="0" w:space="0" w:color="auto"/>
        <w:bottom w:val="none" w:sz="0" w:space="0" w:color="auto"/>
        <w:right w:val="none" w:sz="0" w:space="0" w:color="auto"/>
      </w:divBdr>
    </w:div>
    <w:div w:id="134226270">
      <w:bodyDiv w:val="1"/>
      <w:marLeft w:val="0"/>
      <w:marRight w:val="0"/>
      <w:marTop w:val="0"/>
      <w:marBottom w:val="0"/>
      <w:divBdr>
        <w:top w:val="none" w:sz="0" w:space="0" w:color="auto"/>
        <w:left w:val="none" w:sz="0" w:space="0" w:color="auto"/>
        <w:bottom w:val="none" w:sz="0" w:space="0" w:color="auto"/>
        <w:right w:val="none" w:sz="0" w:space="0" w:color="auto"/>
      </w:divBdr>
    </w:div>
    <w:div w:id="849220996">
      <w:bodyDiv w:val="1"/>
      <w:marLeft w:val="0"/>
      <w:marRight w:val="0"/>
      <w:marTop w:val="0"/>
      <w:marBottom w:val="0"/>
      <w:divBdr>
        <w:top w:val="none" w:sz="0" w:space="0" w:color="auto"/>
        <w:left w:val="none" w:sz="0" w:space="0" w:color="auto"/>
        <w:bottom w:val="none" w:sz="0" w:space="0" w:color="auto"/>
        <w:right w:val="none" w:sz="0" w:space="0" w:color="auto"/>
      </w:divBdr>
    </w:div>
    <w:div w:id="980429472">
      <w:bodyDiv w:val="1"/>
      <w:marLeft w:val="0"/>
      <w:marRight w:val="0"/>
      <w:marTop w:val="0"/>
      <w:marBottom w:val="0"/>
      <w:divBdr>
        <w:top w:val="none" w:sz="0" w:space="0" w:color="auto"/>
        <w:left w:val="none" w:sz="0" w:space="0" w:color="auto"/>
        <w:bottom w:val="none" w:sz="0" w:space="0" w:color="auto"/>
        <w:right w:val="none" w:sz="0" w:space="0" w:color="auto"/>
      </w:divBdr>
    </w:div>
    <w:div w:id="1030956088">
      <w:bodyDiv w:val="1"/>
      <w:marLeft w:val="0"/>
      <w:marRight w:val="0"/>
      <w:marTop w:val="0"/>
      <w:marBottom w:val="0"/>
      <w:divBdr>
        <w:top w:val="none" w:sz="0" w:space="0" w:color="auto"/>
        <w:left w:val="none" w:sz="0" w:space="0" w:color="auto"/>
        <w:bottom w:val="none" w:sz="0" w:space="0" w:color="auto"/>
        <w:right w:val="none" w:sz="0" w:space="0" w:color="auto"/>
      </w:divBdr>
    </w:div>
    <w:div w:id="1450658834">
      <w:bodyDiv w:val="1"/>
      <w:marLeft w:val="0"/>
      <w:marRight w:val="0"/>
      <w:marTop w:val="0"/>
      <w:marBottom w:val="0"/>
      <w:divBdr>
        <w:top w:val="none" w:sz="0" w:space="0" w:color="auto"/>
        <w:left w:val="none" w:sz="0" w:space="0" w:color="auto"/>
        <w:bottom w:val="none" w:sz="0" w:space="0" w:color="auto"/>
        <w:right w:val="none" w:sz="0" w:space="0" w:color="auto"/>
      </w:divBdr>
    </w:div>
    <w:div w:id="1454209209">
      <w:bodyDiv w:val="1"/>
      <w:marLeft w:val="0"/>
      <w:marRight w:val="0"/>
      <w:marTop w:val="0"/>
      <w:marBottom w:val="0"/>
      <w:divBdr>
        <w:top w:val="none" w:sz="0" w:space="0" w:color="auto"/>
        <w:left w:val="none" w:sz="0" w:space="0" w:color="auto"/>
        <w:bottom w:val="none" w:sz="0" w:space="0" w:color="auto"/>
        <w:right w:val="none" w:sz="0" w:space="0" w:color="auto"/>
      </w:divBdr>
    </w:div>
    <w:div w:id="2009019067">
      <w:bodyDiv w:val="1"/>
      <w:marLeft w:val="0"/>
      <w:marRight w:val="0"/>
      <w:marTop w:val="0"/>
      <w:marBottom w:val="0"/>
      <w:divBdr>
        <w:top w:val="none" w:sz="0" w:space="0" w:color="auto"/>
        <w:left w:val="none" w:sz="0" w:space="0" w:color="auto"/>
        <w:bottom w:val="none" w:sz="0" w:space="0" w:color="auto"/>
        <w:right w:val="none" w:sz="0" w:space="0" w:color="auto"/>
      </w:divBdr>
    </w:div>
    <w:div w:id="2037805856">
      <w:bodyDiv w:val="1"/>
      <w:marLeft w:val="0"/>
      <w:marRight w:val="0"/>
      <w:marTop w:val="0"/>
      <w:marBottom w:val="0"/>
      <w:divBdr>
        <w:top w:val="none" w:sz="0" w:space="0" w:color="auto"/>
        <w:left w:val="none" w:sz="0" w:space="0" w:color="auto"/>
        <w:bottom w:val="none" w:sz="0" w:space="0" w:color="auto"/>
        <w:right w:val="none" w:sz="0" w:space="0" w:color="auto"/>
      </w:divBdr>
    </w:div>
    <w:div w:id="2040735589">
      <w:bodyDiv w:val="1"/>
      <w:marLeft w:val="0"/>
      <w:marRight w:val="0"/>
      <w:marTop w:val="0"/>
      <w:marBottom w:val="0"/>
      <w:divBdr>
        <w:top w:val="none" w:sz="0" w:space="0" w:color="auto"/>
        <w:left w:val="none" w:sz="0" w:space="0" w:color="auto"/>
        <w:bottom w:val="none" w:sz="0" w:space="0" w:color="auto"/>
        <w:right w:val="none" w:sz="0" w:space="0" w:color="auto"/>
      </w:divBdr>
    </w:div>
    <w:div w:id="20989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greece.gr/Pages/el/Statistics/externalsector/balance/transactions.aspx" TargetMode="External"/><Relationship Id="rId3" Type="http://schemas.openxmlformats.org/officeDocument/2006/relationships/settings" Target="settings.xml"/><Relationship Id="rId7" Type="http://schemas.openxmlformats.org/officeDocument/2006/relationships/hyperlink" Target="http://www.bankofgreece.gr/Pages/el/Statistics/externalsector/balance/transactions.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kofgreece.gr/Pages/el/Statistics/externalsector/balance/transactions.aspx" TargetMode="External"/><Relationship Id="rId11" Type="http://schemas.openxmlformats.org/officeDocument/2006/relationships/theme" Target="theme/theme1.xml"/><Relationship Id="rId5" Type="http://schemas.openxmlformats.org/officeDocument/2006/relationships/hyperlink" Target="http://www.oec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nkofgreece.gr/Pages/el/Statistics/externalsector/funds.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3092</Words>
  <Characters>16702</Characters>
  <Application>Microsoft Office Word</Application>
  <DocSecurity>0</DocSecurity>
  <Lines>139</Lines>
  <Paragraphs>39</Paragraphs>
  <ScaleCrop>false</ScaleCrop>
  <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dcterms:created xsi:type="dcterms:W3CDTF">2016-06-07T08:17:00Z</dcterms:created>
  <dcterms:modified xsi:type="dcterms:W3CDTF">2016-06-07T08:17:00Z</dcterms:modified>
</cp:coreProperties>
</file>